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9D0B" w14:textId="7FCF2F98" w:rsidR="00260898" w:rsidRPr="004B3049" w:rsidRDefault="00EE42A3">
      <w:pPr>
        <w:pStyle w:val="Subtitle"/>
        <w:spacing w:after="0"/>
        <w:rPr>
          <w:rFonts w:ascii="Times New Roman" w:hAnsi="Times New Roman" w:cs="Times New Roman"/>
          <w:sz w:val="24"/>
          <w:szCs w:val="24"/>
        </w:rPr>
      </w:pPr>
      <w:r w:rsidRPr="009A1BD4">
        <w:rPr>
          <w:rFonts w:ascii="Times New Roman" w:hAnsi="Times New Roman" w:cs="Times New Roman"/>
          <w:sz w:val="24"/>
          <w:szCs w:val="24"/>
        </w:rPr>
        <w:t>202</w:t>
      </w:r>
      <w:r w:rsidR="00DE1664" w:rsidRPr="009A1BD4">
        <w:rPr>
          <w:rFonts w:ascii="Times New Roman" w:hAnsi="Times New Roman" w:cs="Times New Roman"/>
          <w:sz w:val="24"/>
          <w:szCs w:val="24"/>
        </w:rPr>
        <w:t>5</w:t>
      </w:r>
      <w:r w:rsidRPr="009A1BD4">
        <w:rPr>
          <w:rFonts w:ascii="Times New Roman" w:hAnsi="Times New Roman" w:cs="Times New Roman"/>
          <w:sz w:val="24"/>
          <w:szCs w:val="24"/>
        </w:rPr>
        <w:t>-202</w:t>
      </w:r>
      <w:r w:rsidR="00DE1664" w:rsidRPr="009A1BD4">
        <w:rPr>
          <w:rFonts w:ascii="Times New Roman" w:hAnsi="Times New Roman" w:cs="Times New Roman"/>
          <w:sz w:val="24"/>
          <w:szCs w:val="24"/>
        </w:rPr>
        <w:t>6</w:t>
      </w:r>
      <w:r>
        <w:rPr>
          <w:rFonts w:ascii="Times New Roman" w:hAnsi="Times New Roman" w:cs="Times New Roman"/>
          <w:sz w:val="24"/>
          <w:szCs w:val="24"/>
        </w:rPr>
        <w:t xml:space="preserve"> </w:t>
      </w:r>
      <w:r w:rsidR="005C559F" w:rsidRPr="004B3049">
        <w:rPr>
          <w:rFonts w:ascii="Times New Roman" w:hAnsi="Times New Roman" w:cs="Times New Roman"/>
          <w:sz w:val="24"/>
          <w:szCs w:val="24"/>
        </w:rPr>
        <w:t xml:space="preserve">Academic Program Guide for </w:t>
      </w:r>
      <w:r w:rsidR="00183F56">
        <w:rPr>
          <w:rFonts w:ascii="Times New Roman" w:hAnsi="Times New Roman" w:cs="Times New Roman"/>
          <w:b/>
          <w:sz w:val="24"/>
          <w:szCs w:val="24"/>
        </w:rPr>
        <w:t>ESL</w:t>
      </w:r>
      <w:r>
        <w:rPr>
          <w:rFonts w:ascii="Times New Roman" w:hAnsi="Times New Roman" w:cs="Times New Roman"/>
          <w:b/>
          <w:sz w:val="24"/>
          <w:szCs w:val="24"/>
        </w:rPr>
        <w:t xml:space="preserve"> C</w:t>
      </w:r>
      <w:r w:rsidR="00183F56">
        <w:rPr>
          <w:rFonts w:ascii="Times New Roman" w:hAnsi="Times New Roman" w:cs="Times New Roman"/>
          <w:b/>
          <w:sz w:val="24"/>
          <w:szCs w:val="24"/>
        </w:rPr>
        <w:t>U</w:t>
      </w:r>
      <w:r>
        <w:rPr>
          <w:rFonts w:ascii="Times New Roman" w:hAnsi="Times New Roman" w:cs="Times New Roman"/>
          <w:b/>
          <w:sz w:val="24"/>
          <w:szCs w:val="24"/>
        </w:rPr>
        <w:t>GS</w:t>
      </w:r>
    </w:p>
    <w:p w14:paraId="72E6A5AE" w14:textId="586B7B8A" w:rsidR="00260898" w:rsidRPr="004B3049" w:rsidRDefault="005C559F">
      <w:pPr>
        <w:pStyle w:val="Subtitle"/>
        <w:spacing w:after="0"/>
        <w:rPr>
          <w:rFonts w:ascii="Times New Roman" w:hAnsi="Times New Roman" w:cs="Times New Roman"/>
          <w:sz w:val="24"/>
          <w:szCs w:val="24"/>
        </w:rPr>
      </w:pPr>
      <w:r w:rsidRPr="004B3049">
        <w:rPr>
          <w:rFonts w:ascii="Times New Roman" w:hAnsi="Times New Roman" w:cs="Times New Roman"/>
          <w:sz w:val="24"/>
          <w:szCs w:val="24"/>
        </w:rPr>
        <w:t xml:space="preserve">Program Coordinator, </w:t>
      </w:r>
      <w:r w:rsidR="00183F56">
        <w:rPr>
          <w:rFonts w:ascii="Times New Roman" w:hAnsi="Times New Roman" w:cs="Times New Roman"/>
          <w:sz w:val="24"/>
          <w:szCs w:val="24"/>
        </w:rPr>
        <w:t>Catherine Michener</w:t>
      </w:r>
      <w:r w:rsidRPr="004B3049">
        <w:rPr>
          <w:rFonts w:ascii="Times New Roman" w:hAnsi="Times New Roman" w:cs="Times New Roman"/>
          <w:sz w:val="24"/>
          <w:szCs w:val="24"/>
        </w:rPr>
        <w:t xml:space="preserve"> </w:t>
      </w:r>
    </w:p>
    <w:p w14:paraId="156EF9A0" w14:textId="17F89EE7" w:rsidR="00260898" w:rsidRPr="004B3049" w:rsidRDefault="00183F56">
      <w:pPr>
        <w:pStyle w:val="Subtitle"/>
        <w:rPr>
          <w:rFonts w:ascii="Times New Roman" w:hAnsi="Times New Roman" w:cs="Times New Roman"/>
          <w:sz w:val="24"/>
          <w:szCs w:val="24"/>
        </w:rPr>
      </w:pPr>
      <w:hyperlink r:id="rId8" w:history="1">
        <w:r w:rsidRPr="00374ED7">
          <w:rPr>
            <w:rStyle w:val="Hyperlink"/>
            <w:rFonts w:ascii="Times New Roman" w:hAnsi="Times New Roman" w:cs="Times New Roman"/>
            <w:sz w:val="24"/>
            <w:szCs w:val="24"/>
          </w:rPr>
          <w:t>michenerc@rowan.edu</w:t>
        </w:r>
      </w:hyperlink>
      <w:r w:rsidR="005C559F" w:rsidRPr="004B3049">
        <w:rPr>
          <w:rFonts w:ascii="Times New Roman" w:hAnsi="Times New Roman" w:cs="Times New Roman"/>
          <w:sz w:val="24"/>
          <w:szCs w:val="24"/>
        </w:rPr>
        <w:t>, 856-256-</w:t>
      </w:r>
      <w:r w:rsidR="00C966B8" w:rsidRPr="004B3049">
        <w:rPr>
          <w:rFonts w:ascii="Times New Roman" w:hAnsi="Times New Roman" w:cs="Times New Roman"/>
          <w:sz w:val="24"/>
          <w:szCs w:val="24"/>
        </w:rPr>
        <w:t>4</w:t>
      </w:r>
      <w:r>
        <w:rPr>
          <w:rFonts w:ascii="Times New Roman" w:hAnsi="Times New Roman" w:cs="Times New Roman"/>
          <w:sz w:val="24"/>
          <w:szCs w:val="24"/>
        </w:rPr>
        <w:t>845</w:t>
      </w:r>
    </w:p>
    <w:p w14:paraId="75BE95B6" w14:textId="77777777" w:rsidR="00260898" w:rsidRDefault="00260898"/>
    <w:p w14:paraId="2B826E5D" w14:textId="77777777" w:rsidR="00260898" w:rsidRDefault="005C559F">
      <w:pPr>
        <w:pStyle w:val="Heading1"/>
        <w:rPr>
          <w:color w:val="000000"/>
        </w:rPr>
      </w:pPr>
      <w:r>
        <w:rPr>
          <w:color w:val="000000"/>
        </w:rPr>
        <w:t>Program at a Glance</w:t>
      </w:r>
    </w:p>
    <w:p w14:paraId="45D0BA61" w14:textId="77777777" w:rsidR="00260898" w:rsidRDefault="00260898">
      <w:pPr>
        <w:pBdr>
          <w:top w:val="nil"/>
          <w:left w:val="nil"/>
          <w:bottom w:val="nil"/>
          <w:right w:val="nil"/>
          <w:between w:val="nil"/>
        </w:pBdr>
        <w:tabs>
          <w:tab w:val="left" w:pos="1728"/>
        </w:tabs>
        <w:ind w:left="144" w:hanging="1728"/>
        <w:jc w:val="both"/>
        <w:rPr>
          <w:color w:val="000000"/>
          <w:sz w:val="18"/>
          <w:szCs w:val="18"/>
        </w:rPr>
      </w:pPr>
    </w:p>
    <w:p w14:paraId="7F67546B" w14:textId="15EE37E6" w:rsidR="00656E93" w:rsidRPr="00183F56" w:rsidRDefault="00656E93" w:rsidP="00656E93">
      <w:pPr>
        <w:pStyle w:val="ListParagraph"/>
        <w:rPr>
          <w:rFonts w:ascii="Noto Sans Symbols" w:hAnsi="Noto Sans Symbols" w:cs="Times New Roman"/>
          <w:sz w:val="20"/>
          <w:szCs w:val="20"/>
        </w:rPr>
      </w:pPr>
      <w:r w:rsidRPr="00183F56">
        <w:rPr>
          <w:sz w:val="20"/>
          <w:szCs w:val="20"/>
        </w:rPr>
        <w:t xml:space="preserve">Program Code: </w:t>
      </w:r>
      <w:r w:rsidR="002658CF">
        <w:rPr>
          <w:sz w:val="20"/>
          <w:szCs w:val="20"/>
        </w:rPr>
        <w:t>CUGS-</w:t>
      </w:r>
      <w:r w:rsidR="00497CA5">
        <w:rPr>
          <w:sz w:val="20"/>
          <w:szCs w:val="20"/>
        </w:rPr>
        <w:t>TCHENSL</w:t>
      </w:r>
    </w:p>
    <w:p w14:paraId="3A1E7D90" w14:textId="2B10317F" w:rsidR="00656E93" w:rsidRPr="00183F56" w:rsidRDefault="00656E93" w:rsidP="00656E93">
      <w:pPr>
        <w:pStyle w:val="ListParagraph"/>
        <w:rPr>
          <w:rFonts w:ascii="Noto Sans Symbols" w:hAnsi="Noto Sans Symbols" w:cs="Times New Roman"/>
          <w:sz w:val="20"/>
          <w:szCs w:val="20"/>
        </w:rPr>
      </w:pPr>
      <w:r w:rsidRPr="00183F56">
        <w:rPr>
          <w:sz w:val="20"/>
          <w:szCs w:val="20"/>
        </w:rPr>
        <w:t xml:space="preserve">Major Code: </w:t>
      </w:r>
      <w:r w:rsidR="002658CF">
        <w:rPr>
          <w:sz w:val="20"/>
          <w:szCs w:val="20"/>
        </w:rPr>
        <w:t>U165</w:t>
      </w:r>
    </w:p>
    <w:p w14:paraId="3EC3DE58" w14:textId="06E3BCBE" w:rsidR="00656E93" w:rsidRPr="00183F56" w:rsidRDefault="00656E93" w:rsidP="00656E93">
      <w:pPr>
        <w:pStyle w:val="ListParagraph"/>
        <w:rPr>
          <w:rFonts w:ascii="Noto Sans Symbols" w:hAnsi="Noto Sans Symbols" w:cs="Times New Roman"/>
          <w:sz w:val="20"/>
          <w:szCs w:val="20"/>
        </w:rPr>
      </w:pPr>
      <w:r w:rsidRPr="00183F56">
        <w:rPr>
          <w:sz w:val="20"/>
          <w:szCs w:val="20"/>
        </w:rPr>
        <w:t>Campus Code: M, OL</w:t>
      </w:r>
      <w:r w:rsidR="002658CF">
        <w:rPr>
          <w:sz w:val="20"/>
          <w:szCs w:val="20"/>
        </w:rPr>
        <w:t>, &amp; H</w:t>
      </w:r>
    </w:p>
    <w:p w14:paraId="7B35B86C" w14:textId="2F0C2236" w:rsidR="00656E93" w:rsidRPr="00183F56" w:rsidRDefault="00656E93" w:rsidP="00656E93">
      <w:pPr>
        <w:pStyle w:val="ListParagraph"/>
        <w:rPr>
          <w:rFonts w:ascii="Noto Sans Symbols" w:hAnsi="Noto Sans Symbols" w:cs="Times New Roman"/>
          <w:sz w:val="20"/>
          <w:szCs w:val="20"/>
        </w:rPr>
      </w:pPr>
      <w:r w:rsidRPr="00183F56">
        <w:rPr>
          <w:sz w:val="20"/>
          <w:szCs w:val="20"/>
        </w:rPr>
        <w:t xml:space="preserve">Cohort Code: </w:t>
      </w:r>
    </w:p>
    <w:p w14:paraId="56F0FAFF" w14:textId="052672BB" w:rsidR="00656E93" w:rsidRPr="00183F56" w:rsidRDefault="00656E93" w:rsidP="00656E93">
      <w:pPr>
        <w:pStyle w:val="ListParagraph"/>
        <w:rPr>
          <w:rFonts w:ascii="Noto Sans Symbols" w:hAnsi="Noto Sans Symbols" w:cs="Times New Roman"/>
          <w:sz w:val="20"/>
          <w:szCs w:val="20"/>
        </w:rPr>
      </w:pPr>
      <w:r w:rsidRPr="00183F56">
        <w:rPr>
          <w:sz w:val="20"/>
          <w:szCs w:val="20"/>
        </w:rPr>
        <w:t xml:space="preserve">Session Code: </w:t>
      </w:r>
    </w:p>
    <w:p w14:paraId="75D9FAE6" w14:textId="623ACF10" w:rsidR="00656E93" w:rsidRPr="00183F56" w:rsidRDefault="00656E93" w:rsidP="00656E93">
      <w:pPr>
        <w:pStyle w:val="ListParagraph"/>
        <w:rPr>
          <w:rFonts w:ascii="Noto Sans Symbols" w:hAnsi="Noto Sans Symbols" w:cs="Times New Roman"/>
          <w:sz w:val="20"/>
          <w:szCs w:val="20"/>
        </w:rPr>
      </w:pPr>
      <w:r w:rsidRPr="00183F56">
        <w:rPr>
          <w:sz w:val="20"/>
          <w:szCs w:val="20"/>
        </w:rPr>
        <w:t xml:space="preserve">Attribute: </w:t>
      </w:r>
    </w:p>
    <w:p w14:paraId="02A78444" w14:textId="6E3624CF"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This program totals </w:t>
      </w:r>
      <w:r w:rsidR="00183F56" w:rsidRPr="00183F56">
        <w:rPr>
          <w:color w:val="000000"/>
          <w:sz w:val="20"/>
          <w:szCs w:val="20"/>
        </w:rPr>
        <w:t>15 under</w:t>
      </w:r>
      <w:r w:rsidRPr="00183F56">
        <w:rPr>
          <w:color w:val="000000"/>
          <w:sz w:val="20"/>
          <w:szCs w:val="20"/>
        </w:rPr>
        <w:t>graduate semester hours (SH).</w:t>
      </w:r>
    </w:p>
    <w:p w14:paraId="6F89D448" w14:textId="60279758"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This program consists of </w:t>
      </w:r>
      <w:r w:rsidR="00183F56" w:rsidRPr="00183F56">
        <w:rPr>
          <w:color w:val="000000"/>
          <w:sz w:val="20"/>
          <w:szCs w:val="20"/>
        </w:rPr>
        <w:t xml:space="preserve">5 </w:t>
      </w:r>
      <w:r w:rsidRPr="00183F56">
        <w:rPr>
          <w:color w:val="000000"/>
          <w:sz w:val="20"/>
          <w:szCs w:val="20"/>
        </w:rPr>
        <w:t>core courses (</w:t>
      </w:r>
      <w:r w:rsidR="00183F56" w:rsidRPr="00183F56">
        <w:rPr>
          <w:color w:val="000000"/>
          <w:sz w:val="20"/>
          <w:szCs w:val="20"/>
        </w:rPr>
        <w:t>15</w:t>
      </w:r>
      <w:r w:rsidRPr="00183F56">
        <w:rPr>
          <w:color w:val="000000"/>
          <w:sz w:val="20"/>
          <w:szCs w:val="20"/>
        </w:rPr>
        <w:t xml:space="preserve"> SH</w:t>
      </w:r>
      <w:r w:rsidR="00183F56" w:rsidRPr="00183F56">
        <w:rPr>
          <w:color w:val="000000"/>
          <w:sz w:val="20"/>
          <w:szCs w:val="20"/>
        </w:rPr>
        <w:t>)</w:t>
      </w:r>
    </w:p>
    <w:p w14:paraId="15A1B51D" w14:textId="4B900446"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The program is </w:t>
      </w:r>
      <w:r w:rsidR="00183F56" w:rsidRPr="00183F56">
        <w:rPr>
          <w:color w:val="000000"/>
          <w:sz w:val="20"/>
          <w:szCs w:val="20"/>
        </w:rPr>
        <w:t xml:space="preserve">typically completed in conjunction with an initial teaching certification program, with </w:t>
      </w:r>
      <w:r w:rsidRPr="00183F56">
        <w:rPr>
          <w:color w:val="000000"/>
          <w:sz w:val="20"/>
          <w:szCs w:val="20"/>
        </w:rPr>
        <w:t xml:space="preserve">completion in as little as </w:t>
      </w:r>
      <w:r w:rsidR="00183F56" w:rsidRPr="00183F56">
        <w:rPr>
          <w:color w:val="000000"/>
          <w:sz w:val="20"/>
          <w:szCs w:val="20"/>
        </w:rPr>
        <w:t>1</w:t>
      </w:r>
      <w:r w:rsidR="00C966B8" w:rsidRPr="00183F56">
        <w:rPr>
          <w:color w:val="000000"/>
          <w:sz w:val="20"/>
          <w:szCs w:val="20"/>
        </w:rPr>
        <w:t xml:space="preserve"> year</w:t>
      </w:r>
      <w:r w:rsidRPr="00183F56">
        <w:rPr>
          <w:color w:val="000000"/>
          <w:sz w:val="20"/>
          <w:szCs w:val="20"/>
        </w:rPr>
        <w:t>.</w:t>
      </w:r>
    </w:p>
    <w:p w14:paraId="2D78C232" w14:textId="77777777"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The program is offered in the following formats:</w:t>
      </w:r>
    </w:p>
    <w:p w14:paraId="4667306D" w14:textId="02894264" w:rsidR="00C54A38" w:rsidRPr="008E727A" w:rsidRDefault="00C54A38" w:rsidP="008E727A">
      <w:pPr>
        <w:numPr>
          <w:ilvl w:val="1"/>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Face-to-face, on-campus 15-week classes</w:t>
      </w:r>
    </w:p>
    <w:p w14:paraId="7FB9A92C" w14:textId="77777777" w:rsidR="00C54A38" w:rsidRPr="00183F56" w:rsidRDefault="00C54A38" w:rsidP="00C54A38">
      <w:pPr>
        <w:numPr>
          <w:ilvl w:val="1"/>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Online (100% </w:t>
      </w:r>
      <w:r>
        <w:rPr>
          <w:color w:val="000000"/>
          <w:sz w:val="20"/>
          <w:szCs w:val="20"/>
        </w:rPr>
        <w:t>asynchronous)</w:t>
      </w:r>
      <w:r w:rsidRPr="00183F56">
        <w:rPr>
          <w:color w:val="000000"/>
          <w:sz w:val="20"/>
          <w:szCs w:val="20"/>
        </w:rPr>
        <w:t xml:space="preserve"> 7-week</w:t>
      </w:r>
      <w:r>
        <w:rPr>
          <w:color w:val="000000"/>
          <w:sz w:val="20"/>
          <w:szCs w:val="20"/>
        </w:rPr>
        <w:t xml:space="preserve"> or 15-week</w:t>
      </w:r>
      <w:r w:rsidRPr="00183F56">
        <w:rPr>
          <w:color w:val="000000"/>
          <w:sz w:val="20"/>
          <w:szCs w:val="20"/>
        </w:rPr>
        <w:t xml:space="preserve"> class</w:t>
      </w:r>
      <w:r>
        <w:rPr>
          <w:color w:val="000000"/>
          <w:sz w:val="20"/>
          <w:szCs w:val="20"/>
        </w:rPr>
        <w:t>es</w:t>
      </w:r>
      <w:r w:rsidRPr="00183F56">
        <w:rPr>
          <w:color w:val="000000"/>
          <w:sz w:val="20"/>
          <w:szCs w:val="20"/>
        </w:rPr>
        <w:t>, plus 1 field experience in local NJ P12 schools</w:t>
      </w:r>
    </w:p>
    <w:p w14:paraId="0BF773A6" w14:textId="77777777"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Courses are taught by full-time faculty members with diverse backgrounds as educators </w:t>
      </w:r>
    </w:p>
    <w:p w14:paraId="6DA9355C" w14:textId="77777777" w:rsidR="00183F56" w:rsidRPr="00183F56" w:rsidRDefault="005C559F" w:rsidP="00183F56">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Course descriptions are available at </w:t>
      </w:r>
      <w:hyperlink r:id="rId9">
        <w:r w:rsidRPr="00183F56">
          <w:rPr>
            <w:color w:val="000000"/>
            <w:sz w:val="20"/>
            <w:szCs w:val="20"/>
            <w:u w:val="single"/>
          </w:rPr>
          <w:t>www.rowan.edu/catalogs</w:t>
        </w:r>
      </w:hyperlink>
      <w:r w:rsidRPr="00183F56">
        <w:rPr>
          <w:color w:val="000000"/>
          <w:sz w:val="20"/>
          <w:szCs w:val="20"/>
        </w:rPr>
        <w:t>.</w:t>
      </w:r>
    </w:p>
    <w:p w14:paraId="3E52C1C6" w14:textId="2CE1CE04" w:rsidR="00260898" w:rsidRPr="00183F56" w:rsidRDefault="005C559F" w:rsidP="00183F56">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Costs are detailed at </w:t>
      </w:r>
      <w:hyperlink r:id="rId10" w:history="1">
        <w:r w:rsidR="00183F56" w:rsidRPr="00183F56">
          <w:rPr>
            <w:rStyle w:val="Hyperlink"/>
            <w:sz w:val="20"/>
            <w:szCs w:val="20"/>
          </w:rPr>
          <w:t>https://sites.rowan.edu/financial-aid/cost-of-attendance/annual-coa-2223.html</w:t>
        </w:r>
      </w:hyperlink>
      <w:r w:rsidR="00183F56" w:rsidRPr="00183F56">
        <w:rPr>
          <w:sz w:val="20"/>
          <w:szCs w:val="20"/>
        </w:rPr>
        <w:t xml:space="preserve"> </w:t>
      </w:r>
    </w:p>
    <w:p w14:paraId="07E09908" w14:textId="77777777" w:rsidR="00260898" w:rsidRDefault="00260898">
      <w:pPr>
        <w:pBdr>
          <w:top w:val="nil"/>
          <w:left w:val="nil"/>
          <w:bottom w:val="nil"/>
          <w:right w:val="nil"/>
          <w:between w:val="nil"/>
        </w:pBdr>
        <w:tabs>
          <w:tab w:val="left" w:pos="1728"/>
        </w:tabs>
        <w:ind w:left="144" w:hanging="1728"/>
        <w:jc w:val="both"/>
        <w:rPr>
          <w:color w:val="000000"/>
          <w:sz w:val="18"/>
          <w:szCs w:val="18"/>
        </w:rPr>
      </w:pPr>
    </w:p>
    <w:p w14:paraId="4E5B820D" w14:textId="77777777" w:rsidR="00260898" w:rsidRDefault="005C559F">
      <w:pPr>
        <w:pStyle w:val="Heading1"/>
        <w:rPr>
          <w:color w:val="000000"/>
        </w:rPr>
      </w:pPr>
      <w:r>
        <w:rPr>
          <w:color w:val="000000"/>
        </w:rPr>
        <w:t>Program Features</w:t>
      </w:r>
    </w:p>
    <w:p w14:paraId="279904C4" w14:textId="77777777" w:rsidR="00260898" w:rsidRDefault="00260898">
      <w:pPr>
        <w:pBdr>
          <w:top w:val="nil"/>
          <w:left w:val="nil"/>
          <w:bottom w:val="nil"/>
          <w:right w:val="nil"/>
          <w:between w:val="nil"/>
        </w:pBdr>
        <w:tabs>
          <w:tab w:val="left" w:pos="1728"/>
        </w:tabs>
        <w:ind w:left="144" w:hanging="1728"/>
        <w:jc w:val="both"/>
        <w:rPr>
          <w:color w:val="000000"/>
          <w:sz w:val="18"/>
          <w:szCs w:val="18"/>
        </w:rPr>
      </w:pPr>
    </w:p>
    <w:p w14:paraId="7DF7BF98" w14:textId="77777777" w:rsidR="00260898" w:rsidRDefault="00260898">
      <w:pPr>
        <w:ind w:left="144"/>
        <w:rPr>
          <w:sz w:val="18"/>
          <w:szCs w:val="18"/>
        </w:rPr>
      </w:pPr>
    </w:p>
    <w:p w14:paraId="6C1BF66C" w14:textId="4D778373" w:rsidR="00C966B8" w:rsidRPr="00183F56" w:rsidRDefault="00C966B8" w:rsidP="00C966B8">
      <w:pPr>
        <w:pStyle w:val="NormalWeb"/>
        <w:spacing w:before="0" w:beforeAutospacing="0" w:after="0" w:afterAutospacing="0"/>
        <w:rPr>
          <w:rFonts w:asciiTheme="minorHAnsi" w:hAnsiTheme="minorHAnsi" w:cstheme="minorHAnsi"/>
          <w:sz w:val="20"/>
          <w:szCs w:val="20"/>
        </w:rPr>
      </w:pPr>
      <w:r w:rsidRPr="00183F56">
        <w:rPr>
          <w:rFonts w:asciiTheme="minorHAnsi" w:hAnsiTheme="minorHAnsi" w:cstheme="minorHAnsi"/>
          <w:color w:val="000000"/>
          <w:sz w:val="20"/>
          <w:szCs w:val="20"/>
        </w:rPr>
        <w:t xml:space="preserve">The </w:t>
      </w:r>
      <w:r w:rsidR="00183F56" w:rsidRPr="00183F56">
        <w:rPr>
          <w:rFonts w:asciiTheme="minorHAnsi" w:hAnsiTheme="minorHAnsi" w:cstheme="minorHAnsi"/>
          <w:color w:val="000000"/>
          <w:sz w:val="20"/>
          <w:szCs w:val="20"/>
        </w:rPr>
        <w:t>English as a Second Language (ESL) certificate of undergraduate study (CUGS)</w:t>
      </w:r>
      <w:r w:rsidRPr="00183F56">
        <w:rPr>
          <w:rFonts w:asciiTheme="minorHAnsi" w:hAnsiTheme="minorHAnsi" w:cstheme="minorHAnsi"/>
          <w:color w:val="000000"/>
          <w:sz w:val="20"/>
          <w:szCs w:val="20"/>
        </w:rPr>
        <w:t xml:space="preserve"> </w:t>
      </w:r>
      <w:r w:rsidR="00183F56" w:rsidRPr="00183F56">
        <w:rPr>
          <w:rFonts w:asciiTheme="minorHAnsi" w:hAnsiTheme="minorHAnsi" w:cstheme="minorHAnsi"/>
          <w:color w:val="000000"/>
          <w:sz w:val="20"/>
          <w:szCs w:val="20"/>
        </w:rPr>
        <w:t xml:space="preserve">program enables students to gain knowledge and skills in Teaching English to Speakers of Other Languages (TESOL), also known as ESL. The program is open to students in current College of Education teacher education programs who want to add an ESL certification; students with a teaching certification from another institution who want to gain expertise in ESL; and students from other majors who are not seeking P-12 certification, but who plan to teach English as a Foreign Language (EFL) abroad or ESL in US-based adult or community programs (e.g., for adults, in the workplace, etc.). Upon successful completion of the CUGS, students who already have another appropriate teaching license or who are concurrently seeking another initial teaching license (e.g., Early Childhood, Elementary Education, Subject Matter Education, Health and Physical Education, Art or Music Education, etc.) will be eligible to apply for the NJ ESL P-12 certification. </w:t>
      </w:r>
    </w:p>
    <w:p w14:paraId="17FEA992" w14:textId="7310681D" w:rsidR="00260898" w:rsidRPr="00183F56" w:rsidRDefault="00C966B8" w:rsidP="00183F56">
      <w:pPr>
        <w:rPr>
          <w:rFonts w:asciiTheme="minorHAnsi" w:eastAsia="Times New Roman" w:hAnsiTheme="minorHAnsi" w:cstheme="minorHAnsi"/>
          <w:sz w:val="24"/>
          <w:szCs w:val="24"/>
        </w:rPr>
      </w:pPr>
      <w:r w:rsidRPr="004B3049">
        <w:rPr>
          <w:rFonts w:asciiTheme="minorHAnsi" w:eastAsia="Times New Roman" w:hAnsiTheme="minorHAnsi" w:cstheme="minorHAnsi"/>
          <w:color w:val="000000"/>
          <w:sz w:val="24"/>
          <w:szCs w:val="24"/>
        </w:rPr>
        <w:t> </w:t>
      </w:r>
    </w:p>
    <w:p w14:paraId="1FBC04AE" w14:textId="77777777" w:rsidR="00260898" w:rsidRDefault="005C559F">
      <w:pPr>
        <w:pStyle w:val="Heading1"/>
        <w:rPr>
          <w:color w:val="000000"/>
        </w:rPr>
      </w:pPr>
      <w:r>
        <w:rPr>
          <w:color w:val="000000"/>
        </w:rPr>
        <w:t>Minimum Grade and Cumulative GPA Requirements</w:t>
      </w:r>
    </w:p>
    <w:p w14:paraId="0B0C5B5C" w14:textId="77777777"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All matriculated and graduate students are expected to maintain satisfactory academic progress each term of enrollment.</w:t>
      </w:r>
    </w:p>
    <w:p w14:paraId="74198B38" w14:textId="77777777" w:rsidR="00260898" w:rsidRPr="00183F56" w:rsidRDefault="005C559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To maintain satisfactory academic progress and to successfully complete the program, students must:</w:t>
      </w:r>
    </w:p>
    <w:p w14:paraId="584C7984" w14:textId="74E1D94A" w:rsidR="00260898" w:rsidRPr="009A1BD4" w:rsidRDefault="00C966B8">
      <w:pPr>
        <w:numPr>
          <w:ilvl w:val="1"/>
          <w:numId w:val="1"/>
        </w:numPr>
        <w:pBdr>
          <w:top w:val="nil"/>
          <w:left w:val="nil"/>
          <w:bottom w:val="nil"/>
          <w:right w:val="nil"/>
          <w:between w:val="nil"/>
        </w:pBdr>
        <w:tabs>
          <w:tab w:val="left" w:pos="1728"/>
        </w:tabs>
        <w:jc w:val="both"/>
        <w:rPr>
          <w:color w:val="000000"/>
          <w:sz w:val="20"/>
          <w:szCs w:val="20"/>
        </w:rPr>
      </w:pPr>
      <w:r w:rsidRPr="009A1BD4">
        <w:rPr>
          <w:color w:val="000000"/>
          <w:sz w:val="20"/>
          <w:szCs w:val="20"/>
        </w:rPr>
        <w:t>Earn a B- or better in all coursework.</w:t>
      </w:r>
    </w:p>
    <w:p w14:paraId="62D7E70A" w14:textId="782AE943" w:rsidR="00400154" w:rsidRDefault="00400154">
      <w:pPr>
        <w:rPr>
          <w:sz w:val="18"/>
          <w:szCs w:val="18"/>
        </w:rPr>
      </w:pPr>
      <w:r>
        <w:rPr>
          <w:sz w:val="18"/>
          <w:szCs w:val="18"/>
        </w:rPr>
        <w:br w:type="page"/>
      </w:r>
    </w:p>
    <w:p w14:paraId="2143A6A1" w14:textId="77777777" w:rsidR="00260898" w:rsidRDefault="00260898">
      <w:pPr>
        <w:spacing w:after="160" w:line="259" w:lineRule="auto"/>
        <w:rPr>
          <w:sz w:val="18"/>
          <w:szCs w:val="18"/>
        </w:rPr>
      </w:pPr>
    </w:p>
    <w:p w14:paraId="0FC756FB" w14:textId="77777777" w:rsidR="00260898" w:rsidRDefault="005C559F">
      <w:pPr>
        <w:pStyle w:val="Heading1"/>
        <w:rPr>
          <w:color w:val="000000"/>
        </w:rPr>
      </w:pPr>
      <w:r>
        <w:rPr>
          <w:color w:val="000000"/>
        </w:rPr>
        <w:t>Program Summary</w:t>
      </w:r>
    </w:p>
    <w:p w14:paraId="6C596831" w14:textId="77777777" w:rsidR="00504F29" w:rsidRDefault="00504F29" w:rsidP="00504F29"/>
    <w:p w14:paraId="3209CBC4" w14:textId="3E772616" w:rsidR="00504F29" w:rsidRPr="00183F56" w:rsidRDefault="00504F29" w:rsidP="00504F29">
      <w:pPr>
        <w:rPr>
          <w:sz w:val="20"/>
          <w:szCs w:val="20"/>
        </w:rPr>
      </w:pPr>
      <w:r w:rsidRPr="00183F56">
        <w:rPr>
          <w:sz w:val="20"/>
          <w:szCs w:val="20"/>
        </w:rPr>
        <w:t xml:space="preserve">Course </w:t>
      </w:r>
      <w:r w:rsidR="00183F56" w:rsidRPr="00183F56">
        <w:rPr>
          <w:sz w:val="20"/>
          <w:szCs w:val="20"/>
        </w:rPr>
        <w:t>sequence may</w:t>
      </w:r>
      <w:r w:rsidRPr="00183F56">
        <w:rPr>
          <w:sz w:val="20"/>
          <w:szCs w:val="20"/>
        </w:rPr>
        <w:t xml:space="preserve"> vary depending on candidate’s </w:t>
      </w:r>
      <w:r w:rsidR="00183F56" w:rsidRPr="00183F56">
        <w:rPr>
          <w:sz w:val="20"/>
          <w:szCs w:val="20"/>
        </w:rPr>
        <w:t>other program(s) of</w:t>
      </w:r>
      <w:r w:rsidRPr="00183F56">
        <w:rPr>
          <w:sz w:val="20"/>
          <w:szCs w:val="20"/>
        </w:rPr>
        <w:t xml:space="preserve"> study.  Candidates will take the necessary courses to complete the required </w:t>
      </w:r>
      <w:r w:rsidR="00183F56" w:rsidRPr="00183F56">
        <w:rPr>
          <w:sz w:val="20"/>
          <w:szCs w:val="20"/>
        </w:rPr>
        <w:t>15</w:t>
      </w:r>
      <w:r w:rsidRPr="00183F56">
        <w:rPr>
          <w:sz w:val="20"/>
          <w:szCs w:val="20"/>
        </w:rPr>
        <w:t xml:space="preserve"> </w:t>
      </w:r>
      <w:proofErr w:type="spellStart"/>
      <w:r w:rsidRPr="00183F56">
        <w:rPr>
          <w:sz w:val="20"/>
          <w:szCs w:val="20"/>
        </w:rPr>
        <w:t>s.h.</w:t>
      </w:r>
      <w:proofErr w:type="spellEnd"/>
      <w:r w:rsidRPr="00183F56">
        <w:rPr>
          <w:sz w:val="20"/>
          <w:szCs w:val="20"/>
        </w:rPr>
        <w:t xml:space="preserve"> for a New Jersey </w:t>
      </w:r>
      <w:r w:rsidR="00183F56" w:rsidRPr="00183F56">
        <w:rPr>
          <w:sz w:val="20"/>
          <w:szCs w:val="20"/>
        </w:rPr>
        <w:t>ESL P-12</w:t>
      </w:r>
      <w:r w:rsidRPr="00183F56">
        <w:rPr>
          <w:sz w:val="20"/>
          <w:szCs w:val="20"/>
        </w:rPr>
        <w:t xml:space="preserve"> Certificate. Per New Jersey Department of Education, a</w:t>
      </w:r>
      <w:r w:rsidR="00183F56" w:rsidRPr="00183F56">
        <w:rPr>
          <w:sz w:val="20"/>
          <w:szCs w:val="20"/>
        </w:rPr>
        <w:t xml:space="preserve">n ESL P-12 Certificate </w:t>
      </w:r>
      <w:r w:rsidRPr="00183F56">
        <w:rPr>
          <w:sz w:val="20"/>
          <w:szCs w:val="20"/>
        </w:rPr>
        <w:t xml:space="preserve">requires </w:t>
      </w:r>
      <w:r w:rsidR="00183F56" w:rsidRPr="00183F56">
        <w:rPr>
          <w:sz w:val="20"/>
          <w:szCs w:val="20"/>
        </w:rPr>
        <w:t>13</w:t>
      </w:r>
      <w:r w:rsidRPr="00183F56">
        <w:rPr>
          <w:sz w:val="20"/>
          <w:szCs w:val="20"/>
        </w:rPr>
        <w:t xml:space="preserve"> </w:t>
      </w:r>
      <w:proofErr w:type="spellStart"/>
      <w:r w:rsidRPr="00183F56">
        <w:rPr>
          <w:sz w:val="20"/>
          <w:szCs w:val="20"/>
        </w:rPr>
        <w:t>s.h.</w:t>
      </w:r>
      <w:proofErr w:type="spellEnd"/>
      <w:r w:rsidR="00183F56" w:rsidRPr="00183F56">
        <w:rPr>
          <w:sz w:val="20"/>
          <w:szCs w:val="20"/>
        </w:rPr>
        <w:t xml:space="preserve"> </w:t>
      </w:r>
      <w:r w:rsidRPr="00183F56">
        <w:rPr>
          <w:sz w:val="20"/>
          <w:szCs w:val="20"/>
        </w:rPr>
        <w:t>credits in the specified areas of study</w:t>
      </w:r>
      <w:r w:rsidR="00183F56" w:rsidRPr="00183F56">
        <w:rPr>
          <w:sz w:val="20"/>
          <w:szCs w:val="20"/>
        </w:rPr>
        <w:t>, and evidence of passing scores on oral and written English language proficiency tests (OPI and WPT). These tests must be passed with a score of ‘Advanced Low’ or higher. Information regarding th</w:t>
      </w:r>
      <w:r w:rsidR="00E40910">
        <w:rPr>
          <w:sz w:val="20"/>
          <w:szCs w:val="20"/>
        </w:rPr>
        <w:t>e</w:t>
      </w:r>
      <w:r w:rsidR="00183F56" w:rsidRPr="00183F56">
        <w:rPr>
          <w:sz w:val="20"/>
          <w:szCs w:val="20"/>
        </w:rPr>
        <w:t>se tests may be found on the Language Testing International website.</w:t>
      </w:r>
    </w:p>
    <w:p w14:paraId="4A0E0DFE" w14:textId="77777777" w:rsidR="00504F29" w:rsidRPr="00504F29" w:rsidRDefault="00504F29" w:rsidP="00504F29">
      <w:pPr>
        <w:pStyle w:val="ListParagraph"/>
        <w:numPr>
          <w:ilvl w:val="0"/>
          <w:numId w:val="0"/>
        </w:numPr>
        <w:ind w:left="759"/>
        <w:rPr>
          <w:rFonts w:asciiTheme="minorHAnsi" w:eastAsia="Times New Roman" w:hAnsiTheme="minorHAnsi" w:cstheme="minorHAnsi"/>
          <w:sz w:val="18"/>
          <w:szCs w:val="18"/>
        </w:rPr>
      </w:pPr>
    </w:p>
    <w:p w14:paraId="09013914" w14:textId="77777777" w:rsidR="00260898" w:rsidRDefault="005C559F">
      <w:pPr>
        <w:pStyle w:val="Heading1"/>
        <w:rPr>
          <w:color w:val="000000"/>
        </w:rPr>
      </w:pPr>
      <w:r>
        <w:rPr>
          <w:color w:val="000000"/>
        </w:rPr>
        <w:t>Admission Requirements</w:t>
      </w:r>
    </w:p>
    <w:p w14:paraId="0EF76EA3" w14:textId="77EA156B" w:rsidR="00260898" w:rsidRDefault="00260898">
      <w:pPr>
        <w:pBdr>
          <w:top w:val="nil"/>
          <w:left w:val="nil"/>
          <w:bottom w:val="nil"/>
          <w:right w:val="nil"/>
          <w:between w:val="nil"/>
        </w:pBdr>
        <w:tabs>
          <w:tab w:val="left" w:pos="1728"/>
          <w:tab w:val="left" w:pos="360"/>
        </w:tabs>
        <w:ind w:left="1728" w:hanging="1728"/>
        <w:rPr>
          <w:rFonts w:ascii="Times New Roman" w:eastAsia="Times New Roman" w:hAnsi="Times New Roman" w:cs="Times New Roman"/>
          <w:color w:val="000000"/>
          <w:sz w:val="18"/>
          <w:szCs w:val="18"/>
        </w:rPr>
      </w:pPr>
    </w:p>
    <w:p w14:paraId="68267E70" w14:textId="61B06BC4" w:rsidR="00183F56" w:rsidRPr="00183F56" w:rsidRDefault="00183F56" w:rsidP="00183F56">
      <w:pPr>
        <w:rPr>
          <w:rFonts w:asciiTheme="minorHAnsi" w:eastAsia="Times New Roman" w:hAnsiTheme="minorHAnsi" w:cstheme="minorHAnsi"/>
          <w:color w:val="000000" w:themeColor="text1"/>
          <w:sz w:val="20"/>
          <w:szCs w:val="20"/>
        </w:rPr>
      </w:pPr>
      <w:r w:rsidRPr="00183F56">
        <w:rPr>
          <w:rFonts w:asciiTheme="minorHAnsi" w:eastAsia="Times New Roman" w:hAnsiTheme="minorHAnsi" w:cstheme="minorHAnsi"/>
          <w:color w:val="000000" w:themeColor="text1"/>
          <w:sz w:val="20"/>
          <w:szCs w:val="20"/>
        </w:rPr>
        <w:t>Students interested in adding the ESL CUGS to their program of study should contact their Academic Advisor,</w:t>
      </w:r>
      <w:r w:rsidRPr="00183F56">
        <w:rPr>
          <w:rFonts w:asciiTheme="minorHAnsi" w:eastAsia="Times New Roman" w:hAnsiTheme="minorHAnsi" w:cstheme="minorHAnsi"/>
          <w:color w:val="000000" w:themeColor="text1"/>
          <w:sz w:val="20"/>
          <w:szCs w:val="20"/>
          <w:shd w:val="clear" w:color="auto" w:fill="FFFFFF"/>
        </w:rPr>
        <w:t xml:space="preserve"> the ESL CUGS program coordinator, or Department Chair </w:t>
      </w:r>
      <w:r w:rsidRPr="00183F56">
        <w:rPr>
          <w:rFonts w:asciiTheme="minorHAnsi" w:eastAsia="Times New Roman" w:hAnsiTheme="minorHAnsi" w:cstheme="minorHAnsi"/>
          <w:color w:val="000000" w:themeColor="text1"/>
          <w:sz w:val="20"/>
          <w:szCs w:val="20"/>
          <w:u w:val="single"/>
          <w:shd w:val="clear" w:color="auto" w:fill="FFFFFF"/>
        </w:rPr>
        <w:t>prior to registration in any CUGS</w:t>
      </w:r>
      <w:r w:rsidRPr="00183F56">
        <w:rPr>
          <w:rFonts w:asciiTheme="minorHAnsi" w:eastAsia="Times New Roman" w:hAnsiTheme="minorHAnsi" w:cstheme="minorHAnsi"/>
          <w:color w:val="000000" w:themeColor="text1"/>
          <w:sz w:val="20"/>
          <w:szCs w:val="20"/>
          <w:shd w:val="clear" w:color="auto" w:fill="FFFFFF"/>
        </w:rPr>
        <w:t> courses. They will send an email with your name, Banner ID, major, and name of selected CUGS to ensure you have the proper program code to be able to register.</w:t>
      </w:r>
    </w:p>
    <w:p w14:paraId="38621414" w14:textId="77777777" w:rsidR="00260898" w:rsidRPr="00183F56" w:rsidRDefault="00260898">
      <w:pPr>
        <w:spacing w:after="160" w:line="259" w:lineRule="auto"/>
        <w:rPr>
          <w:iCs/>
        </w:rPr>
      </w:pPr>
    </w:p>
    <w:p w14:paraId="25A919A9" w14:textId="77777777" w:rsidR="00260898" w:rsidRDefault="005C559F">
      <w:pPr>
        <w:pStyle w:val="Heading1"/>
        <w:pBdr>
          <w:bottom w:val="single" w:sz="4" w:space="3" w:color="000000"/>
        </w:pBdr>
        <w:rPr>
          <w:color w:val="000000"/>
        </w:rPr>
      </w:pPr>
      <w:r>
        <w:rPr>
          <w:color w:val="000000"/>
        </w:rPr>
        <w:t>Program Requirements</w:t>
      </w:r>
    </w:p>
    <w:p w14:paraId="634A2C6D" w14:textId="745C8472" w:rsidR="00260898" w:rsidRDefault="00260898">
      <w:pPr>
        <w:pStyle w:val="Heading2"/>
        <w:spacing w:after="0"/>
        <w:rPr>
          <w:color w:val="000000"/>
        </w:rPr>
      </w:pPr>
    </w:p>
    <w:p w14:paraId="45262D18" w14:textId="4884C560" w:rsidR="00183F56" w:rsidRPr="00183F56" w:rsidRDefault="00183F56" w:rsidP="00183F56">
      <w:pPr>
        <w:rPr>
          <w:sz w:val="20"/>
          <w:szCs w:val="20"/>
        </w:rPr>
      </w:pPr>
      <w:r w:rsidRPr="00183F56">
        <w:rPr>
          <w:sz w:val="20"/>
          <w:szCs w:val="20"/>
        </w:rPr>
        <w:t xml:space="preserve">Course sequence may vary depending on candidate’s other program(s) of study.  Candidates will take the necessary courses to complete the required 15 </w:t>
      </w:r>
      <w:proofErr w:type="spellStart"/>
      <w:r w:rsidRPr="00183F56">
        <w:rPr>
          <w:sz w:val="20"/>
          <w:szCs w:val="20"/>
        </w:rPr>
        <w:t>s.h.</w:t>
      </w:r>
      <w:proofErr w:type="spellEnd"/>
      <w:r w:rsidRPr="00183F56">
        <w:rPr>
          <w:sz w:val="20"/>
          <w:szCs w:val="20"/>
        </w:rPr>
        <w:t xml:space="preserve"> for a New Jersey ESL P-12 Certificate. </w:t>
      </w:r>
      <w:r w:rsidR="00336477">
        <w:rPr>
          <w:sz w:val="20"/>
          <w:szCs w:val="20"/>
        </w:rPr>
        <w:t xml:space="preserve">This program meets </w:t>
      </w:r>
      <w:r w:rsidR="00336477" w:rsidRPr="00FB45F9">
        <w:rPr>
          <w:sz w:val="20"/>
          <w:szCs w:val="20"/>
        </w:rPr>
        <w:t>state requirements</w:t>
      </w:r>
      <w:r w:rsidR="00336477">
        <w:rPr>
          <w:sz w:val="20"/>
          <w:szCs w:val="20"/>
        </w:rPr>
        <w:t xml:space="preserve">. </w:t>
      </w:r>
      <w:r w:rsidRPr="00183F56">
        <w:rPr>
          <w:sz w:val="20"/>
          <w:szCs w:val="20"/>
        </w:rPr>
        <w:t xml:space="preserve">Per New Jersey Department of Education, an ESL P-12 Certificate requires 13 </w:t>
      </w:r>
      <w:proofErr w:type="spellStart"/>
      <w:r w:rsidRPr="00183F56">
        <w:rPr>
          <w:sz w:val="20"/>
          <w:szCs w:val="20"/>
        </w:rPr>
        <w:t>s.h.</w:t>
      </w:r>
      <w:proofErr w:type="spellEnd"/>
      <w:r w:rsidRPr="00183F56">
        <w:rPr>
          <w:sz w:val="20"/>
          <w:szCs w:val="20"/>
        </w:rPr>
        <w:t xml:space="preserve"> credits in the specified areas of study, and evidence of passing scores on oral and written English language proficiency tests (OPI and WPT). </w:t>
      </w:r>
    </w:p>
    <w:p w14:paraId="0D0A738F" w14:textId="77777777" w:rsidR="00B57ABF" w:rsidRPr="00183F56" w:rsidRDefault="00B57ABF" w:rsidP="00B57ABF">
      <w:pPr>
        <w:rPr>
          <w:rFonts w:asciiTheme="minorHAnsi" w:hAnsiTheme="minorHAnsi" w:cstheme="minorHAnsi"/>
          <w:sz w:val="20"/>
          <w:szCs w:val="20"/>
        </w:rPr>
      </w:pPr>
    </w:p>
    <w:p w14:paraId="530A3152" w14:textId="3E7520EC" w:rsidR="00B57ABF" w:rsidRPr="00183F56" w:rsidRDefault="00B57ABF" w:rsidP="00B57ABF">
      <w:pPr>
        <w:rPr>
          <w:rFonts w:asciiTheme="minorHAnsi" w:hAnsiTheme="minorHAnsi" w:cstheme="minorHAnsi"/>
          <w:sz w:val="20"/>
          <w:szCs w:val="20"/>
        </w:rPr>
      </w:pPr>
      <w:r w:rsidRPr="00183F56">
        <w:rPr>
          <w:rFonts w:asciiTheme="minorHAnsi" w:hAnsiTheme="minorHAnsi" w:cstheme="minorHAnsi"/>
          <w:sz w:val="20"/>
          <w:szCs w:val="20"/>
        </w:rPr>
        <w:t>Candidates will work with the</w:t>
      </w:r>
      <w:r w:rsidR="00183F56" w:rsidRPr="00183F56">
        <w:rPr>
          <w:rFonts w:asciiTheme="minorHAnsi" w:hAnsiTheme="minorHAnsi" w:cstheme="minorHAnsi"/>
          <w:sz w:val="20"/>
          <w:szCs w:val="20"/>
        </w:rPr>
        <w:t xml:space="preserve">ir academic advisor to plan their course sequence through the </w:t>
      </w:r>
      <w:r w:rsidRPr="00183F56">
        <w:rPr>
          <w:rFonts w:asciiTheme="minorHAnsi" w:hAnsiTheme="minorHAnsi" w:cstheme="minorHAnsi"/>
          <w:sz w:val="20"/>
          <w:szCs w:val="20"/>
        </w:rPr>
        <w:t xml:space="preserve">courses </w:t>
      </w:r>
      <w:r w:rsidR="00183F56" w:rsidRPr="00183F56">
        <w:rPr>
          <w:rFonts w:asciiTheme="minorHAnsi" w:hAnsiTheme="minorHAnsi" w:cstheme="minorHAnsi"/>
          <w:sz w:val="20"/>
          <w:szCs w:val="20"/>
        </w:rPr>
        <w:t xml:space="preserve">listed </w:t>
      </w:r>
      <w:r w:rsidRPr="00183F56">
        <w:rPr>
          <w:rFonts w:asciiTheme="minorHAnsi" w:hAnsiTheme="minorHAnsi" w:cstheme="minorHAnsi"/>
          <w:sz w:val="20"/>
          <w:szCs w:val="20"/>
        </w:rPr>
        <w:t>below:</w:t>
      </w:r>
    </w:p>
    <w:p w14:paraId="47AAE09E" w14:textId="77777777" w:rsidR="00B57ABF" w:rsidRPr="00B57ABF" w:rsidRDefault="00B57ABF" w:rsidP="00B57ABF">
      <w:pPr>
        <w:rPr>
          <w:rFonts w:asciiTheme="minorHAnsi" w:hAnsiTheme="minorHAnsi" w:cstheme="minorHAnsi"/>
          <w:sz w:val="18"/>
          <w:szCs w:val="18"/>
        </w:rPr>
      </w:pPr>
    </w:p>
    <w:tbl>
      <w:tblPr>
        <w:tblStyle w:val="a6"/>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4869"/>
        <w:gridCol w:w="3068"/>
        <w:gridCol w:w="641"/>
        <w:gridCol w:w="839"/>
      </w:tblGrid>
      <w:tr w:rsidR="00260898" w14:paraId="50A68FB4" w14:textId="77777777" w:rsidTr="00183F56">
        <w:trPr>
          <w:trHeight w:val="226"/>
        </w:trPr>
        <w:tc>
          <w:tcPr>
            <w:tcW w:w="1336" w:type="dxa"/>
            <w:shd w:val="clear" w:color="auto" w:fill="FFF2CC"/>
            <w:tcMar>
              <w:left w:w="29" w:type="dxa"/>
              <w:right w:w="29" w:type="dxa"/>
            </w:tcMar>
            <w:vAlign w:val="center"/>
          </w:tcPr>
          <w:p w14:paraId="5AC27BCD" w14:textId="77777777" w:rsidR="00260898" w:rsidRDefault="005C559F">
            <w:pPr>
              <w:jc w:val="center"/>
            </w:pPr>
            <w:r>
              <w:t>Course #</w:t>
            </w:r>
          </w:p>
        </w:tc>
        <w:tc>
          <w:tcPr>
            <w:tcW w:w="4869" w:type="dxa"/>
            <w:shd w:val="clear" w:color="auto" w:fill="FFF2CC"/>
            <w:tcMar>
              <w:left w:w="29" w:type="dxa"/>
              <w:right w:w="29" w:type="dxa"/>
            </w:tcMar>
            <w:vAlign w:val="center"/>
          </w:tcPr>
          <w:p w14:paraId="72143BC4" w14:textId="77777777" w:rsidR="00260898" w:rsidRDefault="005C559F">
            <w:pPr>
              <w:jc w:val="center"/>
            </w:pPr>
            <w:r>
              <w:t>Course Name</w:t>
            </w:r>
          </w:p>
        </w:tc>
        <w:tc>
          <w:tcPr>
            <w:tcW w:w="3068" w:type="dxa"/>
            <w:shd w:val="clear" w:color="auto" w:fill="FFF2CC"/>
            <w:tcMar>
              <w:left w:w="29" w:type="dxa"/>
              <w:right w:w="29" w:type="dxa"/>
            </w:tcMar>
          </w:tcPr>
          <w:p w14:paraId="0D45B54F" w14:textId="77777777" w:rsidR="00260898" w:rsidRDefault="005C559F">
            <w:pPr>
              <w:jc w:val="center"/>
            </w:pPr>
            <w:r>
              <w:t>Course Designations / Notes</w:t>
            </w:r>
          </w:p>
        </w:tc>
        <w:tc>
          <w:tcPr>
            <w:tcW w:w="641" w:type="dxa"/>
            <w:shd w:val="clear" w:color="auto" w:fill="FFF2CC"/>
            <w:tcMar>
              <w:left w:w="29" w:type="dxa"/>
              <w:right w:w="29" w:type="dxa"/>
            </w:tcMar>
            <w:vAlign w:val="center"/>
          </w:tcPr>
          <w:p w14:paraId="464948C7" w14:textId="77777777" w:rsidR="00260898" w:rsidRDefault="005C559F">
            <w:pPr>
              <w:jc w:val="center"/>
            </w:pPr>
            <w:r>
              <w:t>Grade</w:t>
            </w:r>
          </w:p>
        </w:tc>
        <w:tc>
          <w:tcPr>
            <w:tcW w:w="839" w:type="dxa"/>
            <w:shd w:val="clear" w:color="auto" w:fill="FFF2CC"/>
            <w:tcMar>
              <w:left w:w="29" w:type="dxa"/>
              <w:right w:w="29" w:type="dxa"/>
            </w:tcMar>
            <w:vAlign w:val="center"/>
          </w:tcPr>
          <w:p w14:paraId="0479D329" w14:textId="77777777" w:rsidR="00260898" w:rsidRDefault="005C559F">
            <w:pPr>
              <w:jc w:val="center"/>
            </w:pPr>
            <w:r>
              <w:t>Credits</w:t>
            </w:r>
          </w:p>
        </w:tc>
      </w:tr>
    </w:tbl>
    <w:tbl>
      <w:tblPr>
        <w:tblStyle w:val="a7"/>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4869"/>
        <w:gridCol w:w="3068"/>
        <w:gridCol w:w="641"/>
        <w:gridCol w:w="839"/>
      </w:tblGrid>
      <w:tr w:rsidR="00183F56" w:rsidRPr="00183F56" w14:paraId="20B6DB67" w14:textId="77777777" w:rsidTr="00C54A38">
        <w:trPr>
          <w:trHeight w:val="404"/>
        </w:trPr>
        <w:tc>
          <w:tcPr>
            <w:tcW w:w="1336" w:type="dxa"/>
            <w:tcMar>
              <w:left w:w="29" w:type="dxa"/>
              <w:right w:w="29" w:type="dxa"/>
            </w:tcMar>
            <w:vAlign w:val="center"/>
          </w:tcPr>
          <w:p w14:paraId="5FFBA68A" w14:textId="0FE3A763" w:rsidR="00183F56" w:rsidRPr="00183F56" w:rsidRDefault="00183F56" w:rsidP="00183F56">
            <w:pPr>
              <w:rPr>
                <w:sz w:val="20"/>
                <w:szCs w:val="20"/>
              </w:rPr>
            </w:pPr>
            <w:r w:rsidRPr="00183F56">
              <w:rPr>
                <w:rFonts w:ascii="Gill Sans MT" w:eastAsia="Times New Roman" w:hAnsi="Gill Sans MT" w:cs="Times New Roman"/>
                <w:color w:val="333333"/>
                <w:sz w:val="20"/>
                <w:szCs w:val="20"/>
              </w:rPr>
              <w:t>BLED 40.405</w:t>
            </w:r>
          </w:p>
        </w:tc>
        <w:tc>
          <w:tcPr>
            <w:tcW w:w="4869" w:type="dxa"/>
            <w:tcMar>
              <w:left w:w="29" w:type="dxa"/>
              <w:right w:w="29" w:type="dxa"/>
            </w:tcMar>
            <w:vAlign w:val="center"/>
          </w:tcPr>
          <w:p w14:paraId="7461B707" w14:textId="2EC42668" w:rsidR="00183F56" w:rsidRPr="00183F56" w:rsidRDefault="00183F56" w:rsidP="00183F56">
            <w:pPr>
              <w:rPr>
                <w:sz w:val="20"/>
                <w:szCs w:val="20"/>
              </w:rPr>
            </w:pPr>
            <w:r w:rsidRPr="00183F56">
              <w:rPr>
                <w:rFonts w:ascii="Gill Sans MT" w:eastAsia="Times New Roman" w:hAnsi="Gill Sans MT" w:cs="Times New Roman"/>
                <w:bCs/>
                <w:color w:val="333333"/>
                <w:sz w:val="20"/>
                <w:szCs w:val="20"/>
              </w:rPr>
              <w:t>Current Policy and Practice in ESL and Bilingual Education</w:t>
            </w:r>
          </w:p>
        </w:tc>
        <w:tc>
          <w:tcPr>
            <w:tcW w:w="3068" w:type="dxa"/>
            <w:tcMar>
              <w:left w:w="29" w:type="dxa"/>
              <w:right w:w="29" w:type="dxa"/>
            </w:tcMar>
            <w:vAlign w:val="center"/>
          </w:tcPr>
          <w:p w14:paraId="63B76F18" w14:textId="23BADB84" w:rsidR="00183F56" w:rsidRPr="00183F56" w:rsidRDefault="00183F56" w:rsidP="00183F56">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 xml:space="preserve">Offered:  Fall, Spring, Summer </w:t>
            </w:r>
          </w:p>
        </w:tc>
        <w:tc>
          <w:tcPr>
            <w:tcW w:w="641" w:type="dxa"/>
            <w:tcMar>
              <w:left w:w="29" w:type="dxa"/>
              <w:right w:w="29" w:type="dxa"/>
            </w:tcMar>
            <w:vAlign w:val="center"/>
          </w:tcPr>
          <w:p w14:paraId="0F2DC6C3" w14:textId="77777777" w:rsidR="00183F56" w:rsidRPr="00183F56" w:rsidRDefault="00183F56" w:rsidP="00183F56">
            <w:pPr>
              <w:rPr>
                <w:sz w:val="20"/>
                <w:szCs w:val="20"/>
              </w:rPr>
            </w:pPr>
          </w:p>
        </w:tc>
        <w:tc>
          <w:tcPr>
            <w:tcW w:w="839" w:type="dxa"/>
            <w:tcMar>
              <w:left w:w="29" w:type="dxa"/>
              <w:right w:w="29" w:type="dxa"/>
            </w:tcMar>
            <w:vAlign w:val="center"/>
          </w:tcPr>
          <w:p w14:paraId="6A2ECE8D" w14:textId="77777777" w:rsidR="00183F56" w:rsidRPr="00183F56" w:rsidRDefault="00183F56" w:rsidP="00183F56">
            <w:pPr>
              <w:jc w:val="center"/>
              <w:rPr>
                <w:sz w:val="20"/>
                <w:szCs w:val="20"/>
              </w:rPr>
            </w:pPr>
            <w:r w:rsidRPr="00183F56">
              <w:rPr>
                <w:sz w:val="20"/>
                <w:szCs w:val="20"/>
              </w:rPr>
              <w:t>3</w:t>
            </w:r>
          </w:p>
        </w:tc>
      </w:tr>
      <w:tr w:rsidR="00183F56" w:rsidRPr="00183F56" w14:paraId="01E67B1C" w14:textId="77777777" w:rsidTr="00183F56">
        <w:trPr>
          <w:trHeight w:val="323"/>
        </w:trPr>
        <w:tc>
          <w:tcPr>
            <w:tcW w:w="1336" w:type="dxa"/>
            <w:tcMar>
              <w:left w:w="29" w:type="dxa"/>
              <w:right w:w="29" w:type="dxa"/>
            </w:tcMar>
            <w:vAlign w:val="center"/>
          </w:tcPr>
          <w:p w14:paraId="220BD2A4" w14:textId="73ECB527" w:rsidR="00183F56" w:rsidRPr="00183F56" w:rsidRDefault="00183F56" w:rsidP="00183F56">
            <w:pPr>
              <w:rPr>
                <w:sz w:val="20"/>
                <w:szCs w:val="20"/>
              </w:rPr>
            </w:pPr>
            <w:r w:rsidRPr="00183F56">
              <w:rPr>
                <w:rFonts w:ascii="Gill Sans MT" w:eastAsia="Times New Roman" w:hAnsi="Gill Sans MT" w:cs="Times New Roman"/>
                <w:color w:val="333333"/>
                <w:sz w:val="20"/>
                <w:szCs w:val="20"/>
              </w:rPr>
              <w:t>BLED 40.412</w:t>
            </w:r>
          </w:p>
        </w:tc>
        <w:tc>
          <w:tcPr>
            <w:tcW w:w="4869" w:type="dxa"/>
            <w:tcMar>
              <w:left w:w="29" w:type="dxa"/>
              <w:right w:w="29" w:type="dxa"/>
            </w:tcMar>
            <w:vAlign w:val="center"/>
          </w:tcPr>
          <w:p w14:paraId="24670CE5" w14:textId="5D345A6B" w:rsidR="00183F56" w:rsidRPr="00183F56" w:rsidRDefault="00183F56" w:rsidP="00183F56">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 xml:space="preserve">Linguistics &amp; Second Language Acquisition for Language Teachers </w:t>
            </w:r>
          </w:p>
        </w:tc>
        <w:tc>
          <w:tcPr>
            <w:tcW w:w="3068" w:type="dxa"/>
            <w:tcMar>
              <w:left w:w="29" w:type="dxa"/>
              <w:right w:w="29" w:type="dxa"/>
            </w:tcMar>
            <w:vAlign w:val="center"/>
          </w:tcPr>
          <w:p w14:paraId="206685AF" w14:textId="4B7BE90C" w:rsidR="00183F56" w:rsidRPr="00183F56" w:rsidRDefault="00183F56" w:rsidP="00183F56">
            <w:pPr>
              <w:rPr>
                <w:sz w:val="20"/>
                <w:szCs w:val="20"/>
              </w:rPr>
            </w:pPr>
            <w:r w:rsidRPr="00183F56">
              <w:rPr>
                <w:rFonts w:ascii="Gill Sans MT" w:eastAsia="Times New Roman" w:hAnsi="Gill Sans MT" w:cs="Times New Roman"/>
                <w:bCs/>
                <w:color w:val="333333"/>
                <w:sz w:val="20"/>
                <w:szCs w:val="20"/>
              </w:rPr>
              <w:t>Offered: Fall &amp; Spring</w:t>
            </w:r>
          </w:p>
        </w:tc>
        <w:tc>
          <w:tcPr>
            <w:tcW w:w="641" w:type="dxa"/>
            <w:tcMar>
              <w:left w:w="29" w:type="dxa"/>
              <w:right w:w="29" w:type="dxa"/>
            </w:tcMar>
            <w:vAlign w:val="center"/>
          </w:tcPr>
          <w:p w14:paraId="182351E9" w14:textId="77777777" w:rsidR="00183F56" w:rsidRPr="00183F56" w:rsidRDefault="00183F56" w:rsidP="00183F56">
            <w:pPr>
              <w:rPr>
                <w:sz w:val="20"/>
                <w:szCs w:val="20"/>
              </w:rPr>
            </w:pPr>
          </w:p>
        </w:tc>
        <w:tc>
          <w:tcPr>
            <w:tcW w:w="839" w:type="dxa"/>
            <w:tcMar>
              <w:left w:w="29" w:type="dxa"/>
              <w:right w:w="29" w:type="dxa"/>
            </w:tcMar>
            <w:vAlign w:val="center"/>
          </w:tcPr>
          <w:p w14:paraId="1E0A0820" w14:textId="77777777" w:rsidR="00183F56" w:rsidRPr="00183F56" w:rsidRDefault="00183F56" w:rsidP="00183F56">
            <w:pPr>
              <w:jc w:val="center"/>
              <w:rPr>
                <w:sz w:val="20"/>
                <w:szCs w:val="20"/>
              </w:rPr>
            </w:pPr>
            <w:r w:rsidRPr="00183F56">
              <w:rPr>
                <w:sz w:val="20"/>
                <w:szCs w:val="20"/>
              </w:rPr>
              <w:t>3</w:t>
            </w:r>
          </w:p>
        </w:tc>
      </w:tr>
      <w:tr w:rsidR="00183F56" w:rsidRPr="00183F56" w14:paraId="01C6CC2E" w14:textId="77777777" w:rsidTr="00183F56">
        <w:trPr>
          <w:trHeight w:val="323"/>
        </w:trPr>
        <w:tc>
          <w:tcPr>
            <w:tcW w:w="1336" w:type="dxa"/>
            <w:tcMar>
              <w:left w:w="29" w:type="dxa"/>
              <w:right w:w="29" w:type="dxa"/>
            </w:tcMar>
            <w:vAlign w:val="center"/>
          </w:tcPr>
          <w:p w14:paraId="1761B86F" w14:textId="18380058" w:rsidR="00183F56" w:rsidRPr="00183F56" w:rsidRDefault="00183F56" w:rsidP="00183F56">
            <w:pPr>
              <w:rPr>
                <w:rFonts w:ascii="Gill Sans MT" w:eastAsia="Times New Roman" w:hAnsi="Gill Sans MT" w:cs="Times New Roman"/>
                <w:color w:val="333333"/>
                <w:sz w:val="20"/>
                <w:szCs w:val="20"/>
              </w:rPr>
            </w:pPr>
            <w:r w:rsidRPr="00183F56">
              <w:rPr>
                <w:rFonts w:ascii="Gill Sans MT" w:eastAsia="Times New Roman" w:hAnsi="Gill Sans MT" w:cs="Times New Roman"/>
                <w:color w:val="333333"/>
                <w:sz w:val="20"/>
                <w:szCs w:val="20"/>
              </w:rPr>
              <w:t>BLED 40.415</w:t>
            </w:r>
          </w:p>
        </w:tc>
        <w:tc>
          <w:tcPr>
            <w:tcW w:w="4869" w:type="dxa"/>
            <w:tcMar>
              <w:left w:w="29" w:type="dxa"/>
              <w:right w:w="29" w:type="dxa"/>
            </w:tcMar>
            <w:vAlign w:val="center"/>
          </w:tcPr>
          <w:p w14:paraId="1AED257C" w14:textId="315C7C1A" w:rsidR="00183F56" w:rsidRPr="00183F56" w:rsidRDefault="00183F56" w:rsidP="00183F56">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 xml:space="preserve">Understanding Immigrant, Bilingual, and English Learner Students </w:t>
            </w:r>
          </w:p>
        </w:tc>
        <w:tc>
          <w:tcPr>
            <w:tcW w:w="3068" w:type="dxa"/>
            <w:tcMar>
              <w:left w:w="29" w:type="dxa"/>
              <w:right w:w="29" w:type="dxa"/>
            </w:tcMar>
            <w:vAlign w:val="center"/>
          </w:tcPr>
          <w:p w14:paraId="16C3D181" w14:textId="1784E6CF" w:rsidR="00183F56" w:rsidRPr="00183F56" w:rsidRDefault="00183F56" w:rsidP="00183F56">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Offered: Fall, Spring, Summer</w:t>
            </w:r>
          </w:p>
        </w:tc>
        <w:tc>
          <w:tcPr>
            <w:tcW w:w="641" w:type="dxa"/>
            <w:tcMar>
              <w:left w:w="29" w:type="dxa"/>
              <w:right w:w="29" w:type="dxa"/>
            </w:tcMar>
            <w:vAlign w:val="center"/>
          </w:tcPr>
          <w:p w14:paraId="7148F1F7" w14:textId="77777777" w:rsidR="00183F56" w:rsidRPr="00183F56" w:rsidRDefault="00183F56" w:rsidP="00183F56">
            <w:pPr>
              <w:rPr>
                <w:sz w:val="20"/>
                <w:szCs w:val="20"/>
              </w:rPr>
            </w:pPr>
          </w:p>
        </w:tc>
        <w:tc>
          <w:tcPr>
            <w:tcW w:w="839" w:type="dxa"/>
            <w:tcMar>
              <w:left w:w="29" w:type="dxa"/>
              <w:right w:w="29" w:type="dxa"/>
            </w:tcMar>
            <w:vAlign w:val="center"/>
          </w:tcPr>
          <w:p w14:paraId="1677821A" w14:textId="1967AE55" w:rsidR="00183F56" w:rsidRPr="00183F56" w:rsidRDefault="00183F56" w:rsidP="00183F56">
            <w:pPr>
              <w:jc w:val="center"/>
              <w:rPr>
                <w:sz w:val="20"/>
                <w:szCs w:val="20"/>
              </w:rPr>
            </w:pPr>
            <w:r w:rsidRPr="00183F56">
              <w:rPr>
                <w:sz w:val="20"/>
                <w:szCs w:val="20"/>
              </w:rPr>
              <w:t>3</w:t>
            </w:r>
          </w:p>
        </w:tc>
      </w:tr>
      <w:tr w:rsidR="00183F56" w:rsidRPr="00183F56" w14:paraId="374DCC64" w14:textId="77777777" w:rsidTr="00C54A38">
        <w:trPr>
          <w:trHeight w:val="566"/>
        </w:trPr>
        <w:tc>
          <w:tcPr>
            <w:tcW w:w="1336" w:type="dxa"/>
            <w:tcMar>
              <w:left w:w="29" w:type="dxa"/>
              <w:right w:w="29" w:type="dxa"/>
            </w:tcMar>
            <w:vAlign w:val="center"/>
          </w:tcPr>
          <w:p w14:paraId="33774BB7" w14:textId="17BBA829" w:rsidR="00183F56" w:rsidRPr="005F21AB" w:rsidRDefault="00183F56" w:rsidP="00183F56">
            <w:pPr>
              <w:rPr>
                <w:rFonts w:ascii="Gill Sans MT" w:eastAsia="Times New Roman" w:hAnsi="Gill Sans MT" w:cs="Times New Roman"/>
                <w:color w:val="333333"/>
                <w:sz w:val="20"/>
                <w:szCs w:val="20"/>
              </w:rPr>
            </w:pPr>
            <w:r w:rsidRPr="005F21AB">
              <w:rPr>
                <w:rFonts w:ascii="Gill Sans MT" w:eastAsia="Times New Roman" w:hAnsi="Gill Sans MT" w:cs="Times New Roman"/>
                <w:color w:val="333333"/>
                <w:sz w:val="20"/>
                <w:szCs w:val="20"/>
              </w:rPr>
              <w:t>BLED 40.420</w:t>
            </w:r>
          </w:p>
        </w:tc>
        <w:tc>
          <w:tcPr>
            <w:tcW w:w="4869" w:type="dxa"/>
            <w:tcMar>
              <w:left w:w="29" w:type="dxa"/>
              <w:right w:w="29" w:type="dxa"/>
            </w:tcMar>
            <w:vAlign w:val="center"/>
          </w:tcPr>
          <w:p w14:paraId="02A06ACD" w14:textId="67FCF40C" w:rsidR="00183F56" w:rsidRPr="005F21AB"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5F21AB">
              <w:rPr>
                <w:rFonts w:ascii="Gill Sans MT" w:eastAsia="Times New Roman" w:hAnsi="Gill Sans MT" w:cs="Times New Roman"/>
                <w:bCs/>
                <w:color w:val="333333"/>
                <w:sz w:val="20"/>
                <w:szCs w:val="20"/>
              </w:rPr>
              <w:t xml:space="preserve">Planning, Teaching, and Assessment in ESL Classrooms </w:t>
            </w:r>
          </w:p>
        </w:tc>
        <w:tc>
          <w:tcPr>
            <w:tcW w:w="3068" w:type="dxa"/>
            <w:tcMar>
              <w:left w:w="29" w:type="dxa"/>
              <w:right w:w="29" w:type="dxa"/>
            </w:tcMar>
            <w:vAlign w:val="center"/>
          </w:tcPr>
          <w:p w14:paraId="53AE4FEE" w14:textId="7ACE6C86" w:rsidR="00183F56" w:rsidRPr="005F21AB"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5F21AB">
              <w:rPr>
                <w:rFonts w:ascii="Gill Sans MT" w:eastAsia="Times New Roman" w:hAnsi="Gill Sans MT" w:cs="Times New Roman"/>
                <w:bCs/>
                <w:color w:val="333333"/>
                <w:sz w:val="20"/>
                <w:szCs w:val="20"/>
              </w:rPr>
              <w:t>Offered: Fall &amp; Spring</w:t>
            </w:r>
          </w:p>
          <w:p w14:paraId="5F2DDA3E" w14:textId="54DEC033" w:rsidR="00183F56" w:rsidRPr="005F21AB" w:rsidRDefault="00183F56" w:rsidP="00183F56">
            <w:pPr>
              <w:rPr>
                <w:rFonts w:ascii="Gill Sans MT" w:eastAsia="Times New Roman" w:hAnsi="Gill Sans MT" w:cs="Times New Roman"/>
                <w:bCs/>
                <w:color w:val="333333"/>
                <w:sz w:val="20"/>
                <w:szCs w:val="20"/>
              </w:rPr>
            </w:pPr>
            <w:r w:rsidRPr="005F21AB">
              <w:rPr>
                <w:rFonts w:ascii="Gill Sans MT" w:eastAsia="Times New Roman" w:hAnsi="Gill Sans MT" w:cs="Times New Roman"/>
                <w:bCs/>
                <w:i/>
                <w:iCs/>
                <w:color w:val="FF0000"/>
                <w:sz w:val="20"/>
                <w:szCs w:val="20"/>
              </w:rPr>
              <w:t>Prerequisite</w:t>
            </w:r>
            <w:r w:rsidR="000A4252" w:rsidRPr="005F21AB">
              <w:rPr>
                <w:rFonts w:ascii="Gill Sans MT" w:eastAsia="Times New Roman" w:hAnsi="Gill Sans MT" w:cs="Times New Roman"/>
                <w:bCs/>
                <w:i/>
                <w:iCs/>
                <w:color w:val="FF0000"/>
                <w:sz w:val="20"/>
                <w:szCs w:val="20"/>
              </w:rPr>
              <w:t>s</w:t>
            </w:r>
            <w:r w:rsidRPr="005F21AB">
              <w:rPr>
                <w:rFonts w:ascii="Gill Sans MT" w:eastAsia="Times New Roman" w:hAnsi="Gill Sans MT" w:cs="Times New Roman"/>
                <w:bCs/>
                <w:i/>
                <w:iCs/>
                <w:color w:val="FF0000"/>
                <w:sz w:val="20"/>
                <w:szCs w:val="20"/>
              </w:rPr>
              <w:t>: BLED 40412 &amp; 40415</w:t>
            </w:r>
          </w:p>
        </w:tc>
        <w:tc>
          <w:tcPr>
            <w:tcW w:w="641" w:type="dxa"/>
            <w:tcMar>
              <w:left w:w="29" w:type="dxa"/>
              <w:right w:w="29" w:type="dxa"/>
            </w:tcMar>
            <w:vAlign w:val="center"/>
          </w:tcPr>
          <w:p w14:paraId="7D1A56F6" w14:textId="77777777" w:rsidR="00183F56" w:rsidRPr="00183F56" w:rsidRDefault="00183F56" w:rsidP="00183F56">
            <w:pPr>
              <w:rPr>
                <w:sz w:val="20"/>
                <w:szCs w:val="20"/>
              </w:rPr>
            </w:pPr>
          </w:p>
        </w:tc>
        <w:tc>
          <w:tcPr>
            <w:tcW w:w="839" w:type="dxa"/>
            <w:tcMar>
              <w:left w:w="29" w:type="dxa"/>
              <w:right w:w="29" w:type="dxa"/>
            </w:tcMar>
            <w:vAlign w:val="center"/>
          </w:tcPr>
          <w:p w14:paraId="7687156C" w14:textId="09CD05E4" w:rsidR="00183F56" w:rsidRPr="00183F56" w:rsidRDefault="00183F56" w:rsidP="00183F56">
            <w:pPr>
              <w:jc w:val="center"/>
              <w:rPr>
                <w:sz w:val="20"/>
                <w:szCs w:val="20"/>
              </w:rPr>
            </w:pPr>
            <w:r w:rsidRPr="00183F56">
              <w:rPr>
                <w:sz w:val="20"/>
                <w:szCs w:val="20"/>
              </w:rPr>
              <w:t>3</w:t>
            </w:r>
          </w:p>
        </w:tc>
      </w:tr>
      <w:tr w:rsidR="00183F56" w:rsidRPr="00183F56" w14:paraId="2380B280" w14:textId="77777777" w:rsidTr="00183F56">
        <w:trPr>
          <w:trHeight w:val="323"/>
        </w:trPr>
        <w:tc>
          <w:tcPr>
            <w:tcW w:w="1336" w:type="dxa"/>
            <w:tcMar>
              <w:left w:w="29" w:type="dxa"/>
              <w:right w:w="29" w:type="dxa"/>
            </w:tcMar>
            <w:vAlign w:val="center"/>
          </w:tcPr>
          <w:p w14:paraId="60DAC4DA" w14:textId="6B9D8B0A" w:rsidR="00183F56" w:rsidRPr="00FF0D8B" w:rsidRDefault="00183F56" w:rsidP="00183F56">
            <w:pPr>
              <w:rPr>
                <w:rFonts w:ascii="Gill Sans MT" w:eastAsia="Times New Roman" w:hAnsi="Gill Sans MT" w:cs="Times New Roman"/>
                <w:color w:val="333333"/>
                <w:sz w:val="20"/>
                <w:szCs w:val="20"/>
              </w:rPr>
            </w:pPr>
            <w:r w:rsidRPr="00FF0D8B">
              <w:rPr>
                <w:rFonts w:ascii="Gill Sans MT" w:eastAsia="Times New Roman" w:hAnsi="Gill Sans MT" w:cs="Times New Roman"/>
                <w:color w:val="333333"/>
                <w:sz w:val="20"/>
                <w:szCs w:val="20"/>
              </w:rPr>
              <w:t>BLED 40.422</w:t>
            </w:r>
          </w:p>
        </w:tc>
        <w:tc>
          <w:tcPr>
            <w:tcW w:w="4869" w:type="dxa"/>
            <w:tcMar>
              <w:left w:w="29" w:type="dxa"/>
              <w:right w:w="29" w:type="dxa"/>
            </w:tcMar>
            <w:vAlign w:val="center"/>
          </w:tcPr>
          <w:p w14:paraId="43BED8CE" w14:textId="057D47D3" w:rsidR="00183F56" w:rsidRPr="00FF0D8B"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FF0D8B">
              <w:rPr>
                <w:rFonts w:ascii="Gill Sans MT" w:eastAsia="Times New Roman" w:hAnsi="Gill Sans MT" w:cs="Times New Roman"/>
                <w:bCs/>
                <w:color w:val="333333"/>
                <w:sz w:val="20"/>
                <w:szCs w:val="20"/>
              </w:rPr>
              <w:t>Integrating Language, Literacy &amp; Content in ESL/Bil Classrooms</w:t>
            </w:r>
          </w:p>
        </w:tc>
        <w:tc>
          <w:tcPr>
            <w:tcW w:w="3068" w:type="dxa"/>
            <w:tcMar>
              <w:left w:w="29" w:type="dxa"/>
              <w:right w:w="29" w:type="dxa"/>
            </w:tcMar>
            <w:vAlign w:val="center"/>
          </w:tcPr>
          <w:p w14:paraId="76973DE2" w14:textId="5341F69E" w:rsidR="00183F56" w:rsidRPr="00FF0D8B"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FF0D8B">
              <w:rPr>
                <w:rFonts w:ascii="Gill Sans MT" w:eastAsia="Times New Roman" w:hAnsi="Gill Sans MT" w:cs="Times New Roman"/>
                <w:bCs/>
                <w:color w:val="333333"/>
                <w:sz w:val="20"/>
                <w:szCs w:val="20"/>
              </w:rPr>
              <w:t>Offered: Fall &amp; Spring</w:t>
            </w:r>
          </w:p>
          <w:p w14:paraId="249EEF34" w14:textId="3F97CC1D" w:rsidR="00183F56" w:rsidRPr="00FF0D8B" w:rsidRDefault="00183F56" w:rsidP="00183F56">
            <w:pPr>
              <w:spacing w:before="100" w:beforeAutospacing="1" w:after="100" w:afterAutospacing="1"/>
              <w:contextualSpacing/>
              <w:rPr>
                <w:rFonts w:ascii="Gill Sans MT" w:eastAsia="Times New Roman" w:hAnsi="Gill Sans MT" w:cs="Times New Roman"/>
                <w:bCs/>
                <w:i/>
                <w:color w:val="333333"/>
                <w:sz w:val="20"/>
                <w:szCs w:val="20"/>
              </w:rPr>
            </w:pPr>
            <w:r w:rsidRPr="00FF0D8B">
              <w:rPr>
                <w:rFonts w:ascii="Gill Sans MT" w:eastAsia="Times New Roman" w:hAnsi="Gill Sans MT" w:cs="Times New Roman"/>
                <w:bCs/>
                <w:i/>
                <w:color w:val="333333"/>
                <w:sz w:val="20"/>
                <w:szCs w:val="20"/>
              </w:rPr>
              <w:t>Includes 24-hour Field Experience</w:t>
            </w:r>
          </w:p>
          <w:p w14:paraId="0B90291C" w14:textId="33E64DEB" w:rsidR="00183F56" w:rsidRPr="00FF0D8B"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E40910">
              <w:rPr>
                <w:rFonts w:ascii="Gill Sans MT" w:eastAsia="Times New Roman" w:hAnsi="Gill Sans MT" w:cs="Times New Roman"/>
                <w:bCs/>
                <w:i/>
                <w:color w:val="FF0000"/>
                <w:sz w:val="20"/>
                <w:szCs w:val="20"/>
              </w:rPr>
              <w:t>Prerequisite: BLED 40420</w:t>
            </w:r>
          </w:p>
        </w:tc>
        <w:tc>
          <w:tcPr>
            <w:tcW w:w="641" w:type="dxa"/>
            <w:tcMar>
              <w:left w:w="29" w:type="dxa"/>
              <w:right w:w="29" w:type="dxa"/>
            </w:tcMar>
            <w:vAlign w:val="center"/>
          </w:tcPr>
          <w:p w14:paraId="3485DB95" w14:textId="77777777" w:rsidR="00183F56" w:rsidRPr="00183F56" w:rsidRDefault="00183F56" w:rsidP="00183F56">
            <w:pPr>
              <w:rPr>
                <w:sz w:val="20"/>
                <w:szCs w:val="20"/>
              </w:rPr>
            </w:pPr>
          </w:p>
        </w:tc>
        <w:tc>
          <w:tcPr>
            <w:tcW w:w="839" w:type="dxa"/>
            <w:tcMar>
              <w:left w:w="29" w:type="dxa"/>
              <w:right w:w="29" w:type="dxa"/>
            </w:tcMar>
            <w:vAlign w:val="center"/>
          </w:tcPr>
          <w:p w14:paraId="0E45B6C1" w14:textId="059CE993" w:rsidR="00183F56" w:rsidRPr="00183F56" w:rsidRDefault="00183F56" w:rsidP="00183F56">
            <w:pPr>
              <w:jc w:val="center"/>
              <w:rPr>
                <w:sz w:val="20"/>
                <w:szCs w:val="20"/>
              </w:rPr>
            </w:pPr>
            <w:r w:rsidRPr="00183F56">
              <w:rPr>
                <w:sz w:val="20"/>
                <w:szCs w:val="20"/>
              </w:rPr>
              <w:t>3</w:t>
            </w:r>
          </w:p>
        </w:tc>
      </w:tr>
      <w:tr w:rsidR="00D7574D" w:rsidRPr="00183F56" w14:paraId="3A6AB8D5" w14:textId="77777777" w:rsidTr="00620516">
        <w:trPr>
          <w:trHeight w:val="323"/>
        </w:trPr>
        <w:tc>
          <w:tcPr>
            <w:tcW w:w="10753" w:type="dxa"/>
            <w:gridSpan w:val="5"/>
            <w:tcMar>
              <w:left w:w="29" w:type="dxa"/>
              <w:right w:w="29" w:type="dxa"/>
            </w:tcMar>
            <w:vAlign w:val="center"/>
          </w:tcPr>
          <w:p w14:paraId="05F245C1" w14:textId="77B65A00" w:rsidR="00D7574D" w:rsidRPr="00183F56" w:rsidRDefault="00D7574D" w:rsidP="00183F56">
            <w:pPr>
              <w:jc w:val="center"/>
              <w:rPr>
                <w:sz w:val="20"/>
                <w:szCs w:val="20"/>
              </w:rPr>
            </w:pPr>
            <w:r w:rsidRPr="009A1BD4">
              <w:rPr>
                <w:sz w:val="20"/>
                <w:szCs w:val="20"/>
              </w:rPr>
              <w:t>Recommended Elective(s)</w:t>
            </w:r>
          </w:p>
        </w:tc>
      </w:tr>
      <w:tr w:rsidR="00183F56" w:rsidRPr="00183F56" w14:paraId="51F57CA1" w14:textId="77777777" w:rsidTr="00183F56">
        <w:trPr>
          <w:trHeight w:val="323"/>
        </w:trPr>
        <w:tc>
          <w:tcPr>
            <w:tcW w:w="1336" w:type="dxa"/>
            <w:tcMar>
              <w:left w:w="29" w:type="dxa"/>
              <w:right w:w="29" w:type="dxa"/>
            </w:tcMar>
            <w:vAlign w:val="center"/>
          </w:tcPr>
          <w:p w14:paraId="3BC98C4B" w14:textId="3C050F18" w:rsidR="00183F56" w:rsidRPr="00183F56" w:rsidRDefault="00183F56" w:rsidP="00183F56">
            <w:pPr>
              <w:rPr>
                <w:rFonts w:ascii="Gill Sans MT" w:eastAsia="Times New Roman" w:hAnsi="Gill Sans MT" w:cs="Times New Roman"/>
                <w:i/>
                <w:iCs/>
                <w:color w:val="333333"/>
                <w:sz w:val="20"/>
                <w:szCs w:val="20"/>
              </w:rPr>
            </w:pPr>
            <w:r w:rsidRPr="00183F56">
              <w:rPr>
                <w:rFonts w:ascii="Gill Sans MT" w:eastAsia="Times New Roman" w:hAnsi="Gill Sans MT" w:cs="Times New Roman"/>
                <w:i/>
                <w:iCs/>
                <w:color w:val="333333"/>
                <w:sz w:val="20"/>
                <w:szCs w:val="20"/>
              </w:rPr>
              <w:t>Recommended elective:</w:t>
            </w:r>
          </w:p>
          <w:p w14:paraId="363DC0C1" w14:textId="467619D3" w:rsidR="00183F56" w:rsidRPr="00183F56" w:rsidRDefault="00183F56" w:rsidP="00183F56">
            <w:pPr>
              <w:rPr>
                <w:rFonts w:ascii="Gill Sans MT" w:eastAsia="Times New Roman" w:hAnsi="Gill Sans MT" w:cs="Times New Roman"/>
                <w:color w:val="333333"/>
                <w:sz w:val="20"/>
                <w:szCs w:val="20"/>
              </w:rPr>
            </w:pPr>
            <w:r w:rsidRPr="00183F56">
              <w:rPr>
                <w:rFonts w:ascii="Gill Sans MT" w:eastAsia="Times New Roman" w:hAnsi="Gill Sans MT" w:cs="Times New Roman"/>
                <w:i/>
                <w:iCs/>
                <w:color w:val="333333"/>
                <w:sz w:val="20"/>
                <w:szCs w:val="20"/>
              </w:rPr>
              <w:t>ENGL 02.301</w:t>
            </w:r>
          </w:p>
        </w:tc>
        <w:tc>
          <w:tcPr>
            <w:tcW w:w="4869" w:type="dxa"/>
            <w:tcMar>
              <w:left w:w="29" w:type="dxa"/>
              <w:right w:w="29" w:type="dxa"/>
            </w:tcMar>
            <w:vAlign w:val="center"/>
          </w:tcPr>
          <w:p w14:paraId="7A187098" w14:textId="55375D6B" w:rsidR="00183F56" w:rsidRPr="00183F56"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183F56">
              <w:rPr>
                <w:rFonts w:ascii="Gill Sans MT" w:eastAsia="Times New Roman" w:hAnsi="Gill Sans MT" w:cs="Times New Roman"/>
                <w:color w:val="333333"/>
                <w:sz w:val="20"/>
                <w:szCs w:val="20"/>
              </w:rPr>
              <w:t xml:space="preserve">American English Grammar </w:t>
            </w:r>
          </w:p>
        </w:tc>
        <w:tc>
          <w:tcPr>
            <w:tcW w:w="3068" w:type="dxa"/>
            <w:tcMar>
              <w:left w:w="29" w:type="dxa"/>
              <w:right w:w="29" w:type="dxa"/>
            </w:tcMar>
            <w:vAlign w:val="center"/>
          </w:tcPr>
          <w:p w14:paraId="16A4782C" w14:textId="042EB3E8" w:rsidR="00183F56" w:rsidRPr="00183F56" w:rsidRDefault="00183F56" w:rsidP="00183F56">
            <w:pPr>
              <w:spacing w:before="100" w:beforeAutospacing="1" w:after="100" w:afterAutospacing="1"/>
              <w:contextualSpacing/>
              <w:rPr>
                <w:rFonts w:ascii="Gill Sans MT" w:eastAsia="Times New Roman" w:hAnsi="Gill Sans MT" w:cs="Times New Roman"/>
                <w:bCs/>
                <w:color w:val="333333"/>
                <w:sz w:val="20"/>
                <w:szCs w:val="20"/>
              </w:rPr>
            </w:pPr>
            <w:r w:rsidRPr="00183F56">
              <w:rPr>
                <w:rFonts w:ascii="Gill Sans MT" w:eastAsia="Times New Roman" w:hAnsi="Gill Sans MT" w:cs="Times New Roman"/>
                <w:color w:val="333333"/>
                <w:sz w:val="20"/>
                <w:szCs w:val="20"/>
              </w:rPr>
              <w:t>TBD</w:t>
            </w:r>
          </w:p>
        </w:tc>
        <w:tc>
          <w:tcPr>
            <w:tcW w:w="641" w:type="dxa"/>
            <w:tcMar>
              <w:left w:w="29" w:type="dxa"/>
              <w:right w:w="29" w:type="dxa"/>
            </w:tcMar>
            <w:vAlign w:val="center"/>
          </w:tcPr>
          <w:p w14:paraId="3EA2FAB0" w14:textId="77777777" w:rsidR="00183F56" w:rsidRPr="00183F56" w:rsidRDefault="00183F56" w:rsidP="00183F56">
            <w:pPr>
              <w:rPr>
                <w:sz w:val="20"/>
                <w:szCs w:val="20"/>
              </w:rPr>
            </w:pPr>
          </w:p>
        </w:tc>
        <w:tc>
          <w:tcPr>
            <w:tcW w:w="839" w:type="dxa"/>
            <w:tcMar>
              <w:left w:w="29" w:type="dxa"/>
              <w:right w:w="29" w:type="dxa"/>
            </w:tcMar>
            <w:vAlign w:val="center"/>
          </w:tcPr>
          <w:p w14:paraId="0D780F74" w14:textId="0EB87399" w:rsidR="00183F56" w:rsidRPr="00183F56" w:rsidRDefault="00183F56" w:rsidP="00183F56">
            <w:pPr>
              <w:jc w:val="center"/>
              <w:rPr>
                <w:sz w:val="20"/>
                <w:szCs w:val="20"/>
              </w:rPr>
            </w:pPr>
            <w:r w:rsidRPr="00183F56">
              <w:rPr>
                <w:sz w:val="20"/>
                <w:szCs w:val="20"/>
              </w:rPr>
              <w:t>3</w:t>
            </w:r>
          </w:p>
        </w:tc>
      </w:tr>
    </w:tbl>
    <w:p w14:paraId="00942683" w14:textId="77777777" w:rsidR="00260898" w:rsidRDefault="00260898"/>
    <w:p w14:paraId="4E960DC9" w14:textId="2C5CEF84" w:rsidR="00260898" w:rsidRDefault="00260898">
      <w:pPr>
        <w:pStyle w:val="Heading2"/>
        <w:spacing w:after="0"/>
        <w:rPr>
          <w:color w:val="000000"/>
        </w:rPr>
      </w:pPr>
    </w:p>
    <w:p w14:paraId="48FA5278" w14:textId="3B5C288F" w:rsidR="00847B5A" w:rsidRDefault="00847B5A">
      <w:pPr>
        <w:rPr>
          <w:rFonts w:asciiTheme="majorHAnsi" w:eastAsiaTheme="majorEastAsia" w:hAnsiTheme="majorHAnsi" w:cstheme="majorBidi"/>
          <w:i/>
          <w:smallCaps/>
          <w:color w:val="000000"/>
          <w:sz w:val="26"/>
          <w:szCs w:val="26"/>
        </w:rPr>
      </w:pPr>
    </w:p>
    <w:p w14:paraId="6D6FA76A" w14:textId="402E26BF" w:rsidR="005A3D40" w:rsidRDefault="005A3D40" w:rsidP="005A3D40">
      <w:pPr>
        <w:pStyle w:val="Heading2"/>
        <w:spacing w:after="0"/>
        <w:rPr>
          <w:color w:val="000000"/>
        </w:rPr>
      </w:pPr>
    </w:p>
    <w:p w14:paraId="5136D93B" w14:textId="598CC705" w:rsidR="00400154" w:rsidRDefault="00400154">
      <w:pPr>
        <w:rPr>
          <w:i/>
        </w:rPr>
      </w:pPr>
      <w:r>
        <w:rPr>
          <w:i/>
        </w:rPr>
        <w:br w:type="page"/>
      </w:r>
    </w:p>
    <w:p w14:paraId="08BBF931" w14:textId="77777777" w:rsidR="00260898" w:rsidRDefault="00260898">
      <w:pPr>
        <w:spacing w:after="160" w:line="259" w:lineRule="auto"/>
        <w:rPr>
          <w:i/>
        </w:rPr>
      </w:pPr>
    </w:p>
    <w:p w14:paraId="40388599" w14:textId="77777777" w:rsidR="00260898" w:rsidRDefault="005C559F">
      <w:pPr>
        <w:pStyle w:val="Heading1"/>
        <w:rPr>
          <w:color w:val="000000"/>
        </w:rPr>
      </w:pPr>
      <w:r>
        <w:rPr>
          <w:color w:val="000000"/>
        </w:rPr>
        <w:t>Notes about Coursework</w:t>
      </w:r>
    </w:p>
    <w:p w14:paraId="536A1E44" w14:textId="77777777" w:rsidR="00260898" w:rsidRDefault="005C559F">
      <w:pPr>
        <w:numPr>
          <w:ilvl w:val="0"/>
          <w:numId w:val="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SH/</w:t>
      </w:r>
      <w:proofErr w:type="spellStart"/>
      <w:r>
        <w:rPr>
          <w:rFonts w:ascii="Times New Roman" w:eastAsia="Times New Roman" w:hAnsi="Times New Roman" w:cs="Times New Roman"/>
          <w:sz w:val="18"/>
          <w:szCs w:val="18"/>
        </w:rPr>
        <w:t>s.h.</w:t>
      </w:r>
      <w:proofErr w:type="spellEnd"/>
      <w:r>
        <w:rPr>
          <w:rFonts w:ascii="Times New Roman" w:eastAsia="Times New Roman" w:hAnsi="Times New Roman" w:cs="Times New Roman"/>
          <w:sz w:val="18"/>
          <w:szCs w:val="18"/>
        </w:rPr>
        <w:t>: Semester Hours</w:t>
      </w:r>
    </w:p>
    <w:p w14:paraId="2917EED2" w14:textId="77777777" w:rsidR="00260898" w:rsidRDefault="005C559F">
      <w:pPr>
        <w:numPr>
          <w:ilvl w:val="0"/>
          <w:numId w:val="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All courses are subject to run based upon meeting enrollment minimums.</w:t>
      </w:r>
    </w:p>
    <w:p w14:paraId="0C988587" w14:textId="77777777" w:rsidR="00260898" w:rsidRDefault="005C559F">
      <w:pPr>
        <w:numPr>
          <w:ilvl w:val="0"/>
          <w:numId w:val="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Pre-requisites are accurate as of the date of this document. For the most up to date information on pre-requisites and course restrictions, please refer to the Section Tally listed below.</w:t>
      </w:r>
    </w:p>
    <w:p w14:paraId="524751A7" w14:textId="30298826" w:rsidR="00260898" w:rsidRDefault="005C559F">
      <w:pPr>
        <w:numPr>
          <w:ilvl w:val="0"/>
          <w:numId w:val="3"/>
        </w:numPr>
        <w:ind w:left="360"/>
        <w:rPr>
          <w:rFonts w:ascii="Times New Roman" w:eastAsia="Times New Roman" w:hAnsi="Times New Roman" w:cs="Times New Roman"/>
          <w:b/>
          <w:color w:val="000000"/>
          <w:sz w:val="18"/>
          <w:szCs w:val="18"/>
          <w:u w:val="single"/>
        </w:rPr>
      </w:pPr>
      <w:r>
        <w:rPr>
          <w:rFonts w:ascii="Times New Roman" w:eastAsia="Times New Roman" w:hAnsi="Times New Roman" w:cs="Times New Roman"/>
          <w:sz w:val="18"/>
          <w:szCs w:val="18"/>
        </w:rPr>
        <w:t xml:space="preserve">Available courses and the terms and times in which they are offered (as well specific start and end dates and any skipped dates) are listed in Rowan’s searchable Section Tally: </w:t>
      </w:r>
      <w:hyperlink r:id="rId11" w:history="1">
        <w:r w:rsidR="00183F56" w:rsidRPr="00374ED7">
          <w:rPr>
            <w:rStyle w:val="Hyperlink"/>
          </w:rPr>
          <w:t>https://sites.rowan.edu/registrar/services-resources/section-tally-info.html</w:t>
        </w:r>
      </w:hyperlink>
      <w:r w:rsidR="00183F56">
        <w:t xml:space="preserve"> </w:t>
      </w:r>
    </w:p>
    <w:p w14:paraId="151443B2" w14:textId="77777777" w:rsidR="00260898" w:rsidRDefault="00260898">
      <w:pPr>
        <w:rPr>
          <w:rFonts w:ascii="Times New Roman" w:eastAsia="Times New Roman" w:hAnsi="Times New Roman" w:cs="Times New Roman"/>
          <w:color w:val="000000"/>
          <w:sz w:val="18"/>
          <w:szCs w:val="18"/>
          <w:u w:val="single"/>
        </w:rPr>
      </w:pPr>
    </w:p>
    <w:p w14:paraId="4575B6D7" w14:textId="77777777" w:rsidR="00260898" w:rsidRDefault="00260898">
      <w:pPr>
        <w:rPr>
          <w:rFonts w:ascii="Times New Roman" w:eastAsia="Times New Roman" w:hAnsi="Times New Roman" w:cs="Times New Roman"/>
          <w:b/>
          <w:color w:val="000000"/>
          <w:sz w:val="18"/>
          <w:szCs w:val="18"/>
          <w:u w:val="single"/>
        </w:rPr>
      </w:pPr>
    </w:p>
    <w:p w14:paraId="4FF43244" w14:textId="5C797D5A" w:rsidR="00260898" w:rsidRPr="000538C5" w:rsidRDefault="00847B5A" w:rsidP="00B57ABF">
      <w:pPr>
        <w:pStyle w:val="Heading1"/>
        <w:rPr>
          <w:color w:val="000000"/>
          <w:sz w:val="28"/>
          <w:szCs w:val="28"/>
        </w:rPr>
      </w:pPr>
      <w:r w:rsidRPr="000538C5">
        <w:rPr>
          <w:color w:val="000000"/>
          <w:sz w:val="28"/>
          <w:szCs w:val="28"/>
        </w:rPr>
        <w:t xml:space="preserve">Total Program Credits Required for </w:t>
      </w:r>
      <w:r w:rsidR="00183F56">
        <w:rPr>
          <w:color w:val="000000"/>
          <w:sz w:val="28"/>
          <w:szCs w:val="28"/>
        </w:rPr>
        <w:t>ESL</w:t>
      </w:r>
      <w:r w:rsidR="00B57ABF">
        <w:rPr>
          <w:color w:val="000000"/>
          <w:sz w:val="28"/>
          <w:szCs w:val="28"/>
        </w:rPr>
        <w:t xml:space="preserve"> C</w:t>
      </w:r>
      <w:r w:rsidR="00183F56">
        <w:rPr>
          <w:color w:val="000000"/>
          <w:sz w:val="28"/>
          <w:szCs w:val="28"/>
        </w:rPr>
        <w:t>U</w:t>
      </w:r>
      <w:r w:rsidR="00B57ABF">
        <w:rPr>
          <w:color w:val="000000"/>
          <w:sz w:val="28"/>
          <w:szCs w:val="28"/>
        </w:rPr>
        <w:t>GS</w:t>
      </w:r>
      <w:r w:rsidRPr="000538C5">
        <w:rPr>
          <w:color w:val="000000"/>
          <w:sz w:val="28"/>
          <w:szCs w:val="28"/>
        </w:rPr>
        <w:t xml:space="preserve">: </w:t>
      </w:r>
      <w:r w:rsidR="00B57ABF">
        <w:rPr>
          <w:color w:val="000000"/>
          <w:sz w:val="28"/>
          <w:szCs w:val="28"/>
        </w:rPr>
        <w:t>minimum 1</w:t>
      </w:r>
      <w:r w:rsidR="00183F56">
        <w:rPr>
          <w:color w:val="000000"/>
          <w:sz w:val="28"/>
          <w:szCs w:val="28"/>
        </w:rPr>
        <w:t>5</w:t>
      </w:r>
      <w:r w:rsidR="00B57ABF">
        <w:rPr>
          <w:color w:val="000000"/>
          <w:sz w:val="28"/>
          <w:szCs w:val="28"/>
        </w:rPr>
        <w:t xml:space="preserve"> SH</w:t>
      </w:r>
    </w:p>
    <w:sectPr w:rsidR="00260898" w:rsidRPr="000538C5">
      <w:headerReference w:type="even" r:id="rId12"/>
      <w:headerReference w:type="default" r:id="rId13"/>
      <w:footerReference w:type="even" r:id="rId14"/>
      <w:footerReference w:type="default" r:id="rId15"/>
      <w:headerReference w:type="first" r:id="rId16"/>
      <w:footerReference w:type="first" r:id="rId17"/>
      <w:pgSz w:w="12240" w:h="15840"/>
      <w:pgMar w:top="576"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32C0" w14:textId="77777777" w:rsidR="00C20523" w:rsidRDefault="00C20523">
      <w:r>
        <w:separator/>
      </w:r>
    </w:p>
  </w:endnote>
  <w:endnote w:type="continuationSeparator" w:id="0">
    <w:p w14:paraId="5F3FB29D" w14:textId="77777777" w:rsidR="00C20523" w:rsidRDefault="00C2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C652" w14:textId="77777777" w:rsidR="00634E5F" w:rsidRDefault="00634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8A6C" w14:textId="23662030" w:rsidR="00D006B6" w:rsidRDefault="005C559F">
    <w:pPr>
      <w:pBdr>
        <w:top w:val="nil"/>
        <w:left w:val="nil"/>
        <w:bottom w:val="nil"/>
        <w:right w:val="nil"/>
        <w:between w:val="nil"/>
      </w:pBdr>
      <w:tabs>
        <w:tab w:val="center" w:pos="4680"/>
        <w:tab w:val="right" w:pos="9360"/>
      </w:tabs>
      <w:jc w:val="both"/>
      <w:rPr>
        <w:i/>
        <w:color w:val="000000"/>
        <w:sz w:val="12"/>
        <w:szCs w:val="12"/>
      </w:rPr>
    </w:pPr>
    <w:r>
      <w:rPr>
        <w:i/>
        <w:color w:val="000000"/>
        <w:sz w:val="12"/>
        <w:szCs w:val="12"/>
      </w:rPr>
      <w:t xml:space="preserve">Updated </w:t>
    </w:r>
    <w:r w:rsidR="00D006B6">
      <w:rPr>
        <w:i/>
        <w:color w:val="000000"/>
        <w:sz w:val="12"/>
        <w:szCs w:val="12"/>
      </w:rPr>
      <w:t>0</w:t>
    </w:r>
    <w:r w:rsidR="00634E5F">
      <w:rPr>
        <w:i/>
        <w:color w:val="000000"/>
        <w:sz w:val="12"/>
        <w:szCs w:val="12"/>
      </w:rPr>
      <w:t>9/28/2023</w:t>
    </w:r>
  </w:p>
  <w:p w14:paraId="3777BDAC" w14:textId="4B5C0AC2" w:rsidR="00260898" w:rsidRDefault="005C559F">
    <w:pPr>
      <w:pBdr>
        <w:top w:val="nil"/>
        <w:left w:val="nil"/>
        <w:bottom w:val="nil"/>
        <w:right w:val="nil"/>
        <w:between w:val="nil"/>
      </w:pBdr>
      <w:tabs>
        <w:tab w:val="center" w:pos="4680"/>
        <w:tab w:val="right" w:pos="9360"/>
      </w:tabs>
      <w:jc w:val="both"/>
      <w:rPr>
        <w:i/>
        <w:color w:val="000000"/>
        <w:sz w:val="12"/>
        <w:szCs w:val="12"/>
      </w:rPr>
    </w:pPr>
    <w:r>
      <w:rPr>
        <w:i/>
        <w:color w:val="000000"/>
        <w:sz w:val="12"/>
        <w:szCs w:val="12"/>
      </w:rPr>
      <w:tab/>
    </w:r>
    <w:r>
      <w:rPr>
        <w:i/>
        <w:color w:val="000000"/>
        <w:sz w:val="12"/>
        <w:szCs w:val="12"/>
      </w:rPr>
      <w:tab/>
    </w:r>
    <w:r>
      <w:rPr>
        <w:i/>
        <w:color w:val="000000"/>
        <w:sz w:val="12"/>
        <w:szCs w:val="12"/>
      </w:rPr>
      <w:tab/>
    </w:r>
    <w:r>
      <w:rPr>
        <w:i/>
        <w:color w:val="000000"/>
        <w:sz w:val="12"/>
        <w:szCs w:val="12"/>
      </w:rPr>
      <w:fldChar w:fldCharType="begin"/>
    </w:r>
    <w:r>
      <w:rPr>
        <w:i/>
        <w:color w:val="000000"/>
        <w:sz w:val="12"/>
        <w:szCs w:val="12"/>
      </w:rPr>
      <w:instrText>PAGE</w:instrText>
    </w:r>
    <w:r>
      <w:rPr>
        <w:i/>
        <w:color w:val="000000"/>
        <w:sz w:val="12"/>
        <w:szCs w:val="12"/>
      </w:rPr>
      <w:fldChar w:fldCharType="separate"/>
    </w:r>
    <w:r w:rsidR="00844927">
      <w:rPr>
        <w:i/>
        <w:noProof/>
        <w:color w:val="000000"/>
        <w:sz w:val="12"/>
        <w:szCs w:val="12"/>
      </w:rPr>
      <w:t>4</w:t>
    </w:r>
    <w:r>
      <w:rPr>
        <w:i/>
        <w:color w:val="000000"/>
        <w:sz w:val="12"/>
        <w:szCs w:val="12"/>
      </w:rPr>
      <w:fldChar w:fldCharType="end"/>
    </w:r>
  </w:p>
  <w:p w14:paraId="07B4315A" w14:textId="77777777" w:rsidR="00260898" w:rsidRDefault="005C559F">
    <w:pPr>
      <w:pBdr>
        <w:top w:val="nil"/>
        <w:left w:val="nil"/>
        <w:bottom w:val="nil"/>
        <w:right w:val="nil"/>
        <w:between w:val="nil"/>
      </w:pBdr>
      <w:tabs>
        <w:tab w:val="center" w:pos="4680"/>
        <w:tab w:val="right" w:pos="9360"/>
        <w:tab w:val="left" w:pos="2860"/>
      </w:tabs>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CF44" w14:textId="77777777" w:rsidR="00634E5F" w:rsidRDefault="0063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333B1" w14:textId="77777777" w:rsidR="00C20523" w:rsidRDefault="00C20523">
      <w:r>
        <w:separator/>
      </w:r>
    </w:p>
  </w:footnote>
  <w:footnote w:type="continuationSeparator" w:id="0">
    <w:p w14:paraId="13CAFF8E" w14:textId="77777777" w:rsidR="00C20523" w:rsidRDefault="00C2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55A8" w14:textId="77777777" w:rsidR="00634E5F" w:rsidRDefault="00634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D8BA" w14:textId="0536877E" w:rsidR="00242E07" w:rsidRDefault="00183F56" w:rsidP="00242E07">
    <w:pPr>
      <w:pStyle w:val="Title"/>
    </w:pPr>
    <w:r>
      <w:t>English as a Second Language (ESL)</w:t>
    </w:r>
    <w:r w:rsidR="00B57ABF">
      <w:t xml:space="preserve"> C</w:t>
    </w:r>
    <w:r>
      <w:t>U</w:t>
    </w:r>
    <w:r w:rsidR="00B57ABF">
      <w:t>GS</w:t>
    </w:r>
  </w:p>
  <w:p w14:paraId="67ABF336" w14:textId="77777777" w:rsidR="00260898" w:rsidRDefault="00260898">
    <w:pPr>
      <w:pBdr>
        <w:top w:val="nil"/>
        <w:left w:val="nil"/>
        <w:bottom w:val="nil"/>
        <w:right w:val="nil"/>
        <w:between w:val="nil"/>
      </w:pBdr>
      <w:tabs>
        <w:tab w:val="center" w:pos="4680"/>
        <w:tab w:val="right" w:pos="9360"/>
      </w:tabs>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0907" w14:textId="205AD5CB" w:rsidR="00260898" w:rsidRDefault="00183F56">
    <w:pPr>
      <w:pStyle w:val="Title"/>
    </w:pPr>
    <w:r>
      <w:t>English as a Second Language (ESL)</w:t>
    </w:r>
    <w:r w:rsidR="00EE42A3">
      <w:t xml:space="preserve"> C</w:t>
    </w:r>
    <w:r>
      <w:t>U</w:t>
    </w:r>
    <w:r w:rsidR="00EE42A3">
      <w:t>GS</w:t>
    </w:r>
  </w:p>
  <w:p w14:paraId="0A004157" w14:textId="77777777" w:rsidR="00260898" w:rsidRDefault="00260898">
    <w:pPr>
      <w:pBdr>
        <w:top w:val="nil"/>
        <w:left w:val="nil"/>
        <w:bottom w:val="nil"/>
        <w:right w:val="nil"/>
        <w:between w:val="nil"/>
      </w:pBdr>
      <w:tabs>
        <w:tab w:val="center" w:pos="4680"/>
        <w:tab w:val="right" w:pos="9360"/>
      </w:tabs>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5EA"/>
    <w:multiLevelType w:val="multilevel"/>
    <w:tmpl w:val="798A0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A2F28"/>
    <w:multiLevelType w:val="hybridMultilevel"/>
    <w:tmpl w:val="A08C995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2BC54F45"/>
    <w:multiLevelType w:val="multilevel"/>
    <w:tmpl w:val="98D478AA"/>
    <w:lvl w:ilvl="0">
      <w:start w:val="1"/>
      <w:numFmt w:val="bullet"/>
      <w:pStyle w:val="ListParagraph"/>
      <w:lvlText w:val="●"/>
      <w:lvlJc w:val="left"/>
      <w:pPr>
        <w:ind w:left="144" w:hanging="144"/>
      </w:pPr>
      <w:rPr>
        <w:rFonts w:ascii="Noto Sans Symbols" w:eastAsia="Noto Sans Symbols" w:hAnsi="Noto Sans Symbols" w:cs="Noto Sans Symbols"/>
      </w:rPr>
    </w:lvl>
    <w:lvl w:ilvl="1">
      <w:start w:val="1"/>
      <w:numFmt w:val="bullet"/>
      <w:lvlText w:val="o"/>
      <w:lvlJc w:val="left"/>
      <w:pPr>
        <w:ind w:left="360" w:hanging="144"/>
      </w:pPr>
      <w:rPr>
        <w:rFonts w:ascii="Courier New" w:eastAsia="Courier New" w:hAnsi="Courier New" w:cs="Courier New"/>
      </w:rPr>
    </w:lvl>
    <w:lvl w:ilvl="2">
      <w:start w:val="1"/>
      <w:numFmt w:val="bullet"/>
      <w:lvlText w:val="▪"/>
      <w:lvlJc w:val="left"/>
      <w:pPr>
        <w:ind w:left="1008" w:hanging="144"/>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0E60D9"/>
    <w:multiLevelType w:val="multilevel"/>
    <w:tmpl w:val="6F6AAD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5670" w:hanging="360"/>
      </w:pPr>
      <w:rPr>
        <w:rFonts w:ascii="Courier New" w:eastAsia="Courier New" w:hAnsi="Courier New" w:cs="Courier New"/>
      </w:rPr>
    </w:lvl>
    <w:lvl w:ilvl="2">
      <w:start w:val="1"/>
      <w:numFmt w:val="bullet"/>
      <w:lvlText w:val="▪"/>
      <w:lvlJc w:val="left"/>
      <w:pPr>
        <w:ind w:left="6390" w:hanging="360"/>
      </w:pPr>
      <w:rPr>
        <w:rFonts w:ascii="Noto Sans Symbols" w:eastAsia="Noto Sans Symbols" w:hAnsi="Noto Sans Symbols" w:cs="Noto Sans Symbols"/>
      </w:rPr>
    </w:lvl>
    <w:lvl w:ilvl="3">
      <w:start w:val="1"/>
      <w:numFmt w:val="bullet"/>
      <w:lvlText w:val="●"/>
      <w:lvlJc w:val="left"/>
      <w:pPr>
        <w:ind w:left="7110" w:hanging="360"/>
      </w:pPr>
      <w:rPr>
        <w:rFonts w:ascii="Noto Sans Symbols" w:eastAsia="Noto Sans Symbols" w:hAnsi="Noto Sans Symbols" w:cs="Noto Sans Symbols"/>
      </w:rPr>
    </w:lvl>
    <w:lvl w:ilvl="4">
      <w:start w:val="1"/>
      <w:numFmt w:val="bullet"/>
      <w:lvlText w:val="o"/>
      <w:lvlJc w:val="left"/>
      <w:pPr>
        <w:ind w:left="7830" w:hanging="360"/>
      </w:pPr>
      <w:rPr>
        <w:rFonts w:ascii="Courier New" w:eastAsia="Courier New" w:hAnsi="Courier New" w:cs="Courier New"/>
      </w:rPr>
    </w:lvl>
    <w:lvl w:ilvl="5">
      <w:start w:val="1"/>
      <w:numFmt w:val="bullet"/>
      <w:lvlText w:val="▪"/>
      <w:lvlJc w:val="left"/>
      <w:pPr>
        <w:ind w:left="8550" w:hanging="360"/>
      </w:pPr>
      <w:rPr>
        <w:rFonts w:ascii="Noto Sans Symbols" w:eastAsia="Noto Sans Symbols" w:hAnsi="Noto Sans Symbols" w:cs="Noto Sans Symbols"/>
      </w:rPr>
    </w:lvl>
    <w:lvl w:ilvl="6">
      <w:start w:val="1"/>
      <w:numFmt w:val="bullet"/>
      <w:lvlText w:val="●"/>
      <w:lvlJc w:val="left"/>
      <w:pPr>
        <w:ind w:left="9270" w:hanging="360"/>
      </w:pPr>
      <w:rPr>
        <w:rFonts w:ascii="Noto Sans Symbols" w:eastAsia="Noto Sans Symbols" w:hAnsi="Noto Sans Symbols" w:cs="Noto Sans Symbols"/>
      </w:rPr>
    </w:lvl>
    <w:lvl w:ilvl="7">
      <w:start w:val="1"/>
      <w:numFmt w:val="bullet"/>
      <w:lvlText w:val="o"/>
      <w:lvlJc w:val="left"/>
      <w:pPr>
        <w:ind w:left="9990" w:hanging="360"/>
      </w:pPr>
      <w:rPr>
        <w:rFonts w:ascii="Courier New" w:eastAsia="Courier New" w:hAnsi="Courier New" w:cs="Courier New"/>
      </w:rPr>
    </w:lvl>
    <w:lvl w:ilvl="8">
      <w:start w:val="1"/>
      <w:numFmt w:val="bullet"/>
      <w:lvlText w:val="▪"/>
      <w:lvlJc w:val="left"/>
      <w:pPr>
        <w:ind w:left="10710" w:hanging="360"/>
      </w:pPr>
      <w:rPr>
        <w:rFonts w:ascii="Noto Sans Symbols" w:eastAsia="Noto Sans Symbols" w:hAnsi="Noto Sans Symbols" w:cs="Noto Sans Symbols"/>
      </w:rPr>
    </w:lvl>
  </w:abstractNum>
  <w:abstractNum w:abstractNumId="4" w15:restartNumberingAfterBreak="0">
    <w:nsid w:val="469C1DF9"/>
    <w:multiLevelType w:val="multilevel"/>
    <w:tmpl w:val="197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565BD"/>
    <w:multiLevelType w:val="multilevel"/>
    <w:tmpl w:val="8840812C"/>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58383">
    <w:abstractNumId w:val="2"/>
  </w:num>
  <w:num w:numId="2" w16cid:durableId="658382496">
    <w:abstractNumId w:val="3"/>
  </w:num>
  <w:num w:numId="3" w16cid:durableId="1233348312">
    <w:abstractNumId w:val="0"/>
  </w:num>
  <w:num w:numId="4" w16cid:durableId="561671771">
    <w:abstractNumId w:val="5"/>
  </w:num>
  <w:num w:numId="5" w16cid:durableId="1938827222">
    <w:abstractNumId w:val="4"/>
  </w:num>
  <w:num w:numId="6" w16cid:durableId="91261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98"/>
    <w:rsid w:val="00000EEE"/>
    <w:rsid w:val="00010CB6"/>
    <w:rsid w:val="000538C5"/>
    <w:rsid w:val="000A1C64"/>
    <w:rsid w:val="000A4252"/>
    <w:rsid w:val="000F0B81"/>
    <w:rsid w:val="00183F56"/>
    <w:rsid w:val="001A09EE"/>
    <w:rsid w:val="001A2239"/>
    <w:rsid w:val="001A62F6"/>
    <w:rsid w:val="001B1057"/>
    <w:rsid w:val="00242E07"/>
    <w:rsid w:val="00260898"/>
    <w:rsid w:val="002658CF"/>
    <w:rsid w:val="00336477"/>
    <w:rsid w:val="00371463"/>
    <w:rsid w:val="003D124B"/>
    <w:rsid w:val="00400154"/>
    <w:rsid w:val="00414B45"/>
    <w:rsid w:val="004227B7"/>
    <w:rsid w:val="00497CA5"/>
    <w:rsid w:val="004B3049"/>
    <w:rsid w:val="004C7AD0"/>
    <w:rsid w:val="00504F29"/>
    <w:rsid w:val="005366DB"/>
    <w:rsid w:val="00584250"/>
    <w:rsid w:val="005863E1"/>
    <w:rsid w:val="005A3D40"/>
    <w:rsid w:val="005C559F"/>
    <w:rsid w:val="005F21AB"/>
    <w:rsid w:val="00634E5F"/>
    <w:rsid w:val="00656E93"/>
    <w:rsid w:val="00792B16"/>
    <w:rsid w:val="00827714"/>
    <w:rsid w:val="00842AF8"/>
    <w:rsid w:val="00844927"/>
    <w:rsid w:val="00847B5A"/>
    <w:rsid w:val="008E727A"/>
    <w:rsid w:val="00916199"/>
    <w:rsid w:val="00972FC4"/>
    <w:rsid w:val="009A1BD4"/>
    <w:rsid w:val="009E211A"/>
    <w:rsid w:val="00A01043"/>
    <w:rsid w:val="00A25B5C"/>
    <w:rsid w:val="00B57ABF"/>
    <w:rsid w:val="00C20523"/>
    <w:rsid w:val="00C54A38"/>
    <w:rsid w:val="00C966B8"/>
    <w:rsid w:val="00D006B6"/>
    <w:rsid w:val="00D54738"/>
    <w:rsid w:val="00D7574D"/>
    <w:rsid w:val="00DC1772"/>
    <w:rsid w:val="00DE1664"/>
    <w:rsid w:val="00E171A7"/>
    <w:rsid w:val="00E17F2B"/>
    <w:rsid w:val="00E40910"/>
    <w:rsid w:val="00EE423C"/>
    <w:rsid w:val="00EE42A3"/>
    <w:rsid w:val="00EE73D9"/>
    <w:rsid w:val="00F036B6"/>
    <w:rsid w:val="00F54B8B"/>
    <w:rsid w:val="00F575DB"/>
    <w:rsid w:val="00F65A00"/>
    <w:rsid w:val="00FC3B29"/>
    <w:rsid w:val="00FF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A6D2"/>
  <w15:docId w15:val="{4391F9E6-1B64-40AA-B330-FC77CC0F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FE"/>
  </w:style>
  <w:style w:type="paragraph" w:styleId="Heading1">
    <w:name w:val="heading 1"/>
    <w:basedOn w:val="Normal"/>
    <w:next w:val="Normal"/>
    <w:link w:val="Heading1Char"/>
    <w:uiPriority w:val="9"/>
    <w:qFormat/>
    <w:rsid w:val="00362665"/>
    <w:pPr>
      <w:keepNext/>
      <w:keepLines/>
      <w:pBdr>
        <w:top w:val="single" w:sz="2" w:space="0" w:color="000000" w:themeColor="text1"/>
        <w:left w:val="single" w:sz="2" w:space="0" w:color="000000" w:themeColor="text1"/>
        <w:bottom w:val="single" w:sz="2" w:space="0" w:color="000000" w:themeColor="text1"/>
        <w:right w:val="single" w:sz="2" w:space="0" w:color="000000" w:themeColor="text1"/>
      </w:pBdr>
      <w:shd w:val="clear" w:color="auto" w:fill="FFF2CC" w:themeFill="accent4" w:themeFillTint="33"/>
      <w:spacing w:before="120" w:after="20"/>
      <w:jc w:val="center"/>
      <w:outlineLvl w:val="0"/>
    </w:pPr>
    <w:rPr>
      <w:rFonts w:asciiTheme="majorHAnsi" w:eastAsiaTheme="majorEastAsia" w:hAnsiTheme="majorHAnsi" w:cstheme="majorBidi"/>
      <w:color w:val="000000" w:themeColor="text1"/>
      <w:sz w:val="30"/>
      <w:szCs w:val="32"/>
    </w:rPr>
  </w:style>
  <w:style w:type="paragraph" w:styleId="Heading2">
    <w:name w:val="heading 2"/>
    <w:basedOn w:val="Normal"/>
    <w:next w:val="Normal"/>
    <w:link w:val="Heading2Char"/>
    <w:uiPriority w:val="9"/>
    <w:unhideWhenUsed/>
    <w:qFormat/>
    <w:rsid w:val="005D1451"/>
    <w:pPr>
      <w:keepNext/>
      <w:keepLines/>
      <w:spacing w:after="20"/>
      <w:outlineLvl w:val="1"/>
    </w:pPr>
    <w:rPr>
      <w:rFonts w:asciiTheme="majorHAnsi" w:eastAsiaTheme="majorEastAsia" w:hAnsiTheme="majorHAnsi" w:cstheme="majorBidi"/>
      <w:i/>
      <w:smallCaps/>
      <w:color w:val="000000" w:themeColor="tex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776"/>
    <w:pPr>
      <w:pBdr>
        <w:top w:val="single" w:sz="4" w:space="0" w:color="000000" w:themeColor="text1"/>
        <w:left w:val="single" w:sz="4" w:space="0" w:color="000000" w:themeColor="text1"/>
        <w:bottom w:val="single" w:sz="4" w:space="0" w:color="000000" w:themeColor="text1"/>
        <w:right w:val="single" w:sz="4" w:space="0" w:color="000000" w:themeColor="text1"/>
      </w:pBdr>
      <w:shd w:val="clear" w:color="auto" w:fill="FFF2CC" w:themeFill="accent4" w:themeFillTint="33"/>
      <w:spacing w:after="80"/>
      <w:contextualSpacing/>
      <w:jc w:val="center"/>
    </w:pPr>
    <w:rPr>
      <w:rFonts w:asciiTheme="majorHAnsi" w:eastAsiaTheme="majorEastAsia" w:hAnsiTheme="majorHAnsi" w:cstheme="majorBidi"/>
      <w:b/>
      <w:color w:val="000000" w:themeColor="text1"/>
      <w:spacing w:val="-10"/>
      <w:kern w:val="28"/>
      <w:sz w:val="50"/>
      <w:szCs w:val="56"/>
    </w:rPr>
  </w:style>
  <w:style w:type="character" w:customStyle="1" w:styleId="TitleChar">
    <w:name w:val="Title Char"/>
    <w:basedOn w:val="DefaultParagraphFont"/>
    <w:link w:val="Title"/>
    <w:uiPriority w:val="10"/>
    <w:rsid w:val="004E6776"/>
    <w:rPr>
      <w:rFonts w:asciiTheme="majorHAnsi" w:eastAsiaTheme="majorEastAsia" w:hAnsiTheme="majorHAnsi" w:cstheme="majorBidi"/>
      <w:b/>
      <w:color w:val="000000" w:themeColor="text1"/>
      <w:spacing w:val="-10"/>
      <w:kern w:val="28"/>
      <w:sz w:val="50"/>
      <w:szCs w:val="56"/>
      <w:shd w:val="clear" w:color="auto" w:fill="FFF2CC" w:themeFill="accent4" w:themeFillTint="33"/>
    </w:rPr>
  </w:style>
  <w:style w:type="paragraph" w:styleId="Subtitle">
    <w:name w:val="Subtitle"/>
    <w:basedOn w:val="Normal"/>
    <w:next w:val="Normal"/>
    <w:link w:val="SubtitleChar"/>
    <w:pPr>
      <w:spacing w:after="40"/>
      <w:jc w:val="center"/>
    </w:pPr>
    <w:rPr>
      <w:sz w:val="26"/>
      <w:szCs w:val="26"/>
    </w:rPr>
  </w:style>
  <w:style w:type="character" w:customStyle="1" w:styleId="SubtitleChar">
    <w:name w:val="Subtitle Char"/>
    <w:basedOn w:val="DefaultParagraphFont"/>
    <w:link w:val="Subtitle"/>
    <w:uiPriority w:val="11"/>
    <w:rsid w:val="005D1451"/>
    <w:rPr>
      <w:rFonts w:eastAsiaTheme="minorEastAsia"/>
      <w:spacing w:val="15"/>
      <w:sz w:val="26"/>
    </w:rPr>
  </w:style>
  <w:style w:type="character" w:styleId="Hyperlink">
    <w:name w:val="Hyperlink"/>
    <w:basedOn w:val="DefaultParagraphFont"/>
    <w:uiPriority w:val="99"/>
    <w:unhideWhenUsed/>
    <w:rsid w:val="00AE02C4"/>
    <w:rPr>
      <w:color w:val="auto"/>
      <w:u w:val="dotted"/>
    </w:rPr>
  </w:style>
  <w:style w:type="character" w:customStyle="1" w:styleId="Heading1Char">
    <w:name w:val="Heading 1 Char"/>
    <w:basedOn w:val="DefaultParagraphFont"/>
    <w:link w:val="Heading1"/>
    <w:uiPriority w:val="9"/>
    <w:rsid w:val="00362665"/>
    <w:rPr>
      <w:rFonts w:asciiTheme="majorHAnsi" w:eastAsiaTheme="majorEastAsia" w:hAnsiTheme="majorHAnsi" w:cstheme="majorBidi"/>
      <w:color w:val="000000" w:themeColor="text1"/>
      <w:sz w:val="30"/>
      <w:szCs w:val="32"/>
      <w:shd w:val="clear" w:color="auto" w:fill="FFF2CC" w:themeFill="accent4" w:themeFillTint="33"/>
    </w:rPr>
  </w:style>
  <w:style w:type="character" w:customStyle="1" w:styleId="Heading2Char">
    <w:name w:val="Heading 2 Char"/>
    <w:basedOn w:val="DefaultParagraphFont"/>
    <w:link w:val="Heading2"/>
    <w:uiPriority w:val="9"/>
    <w:rsid w:val="005D1451"/>
    <w:rPr>
      <w:rFonts w:asciiTheme="majorHAnsi" w:eastAsiaTheme="majorEastAsia" w:hAnsiTheme="majorHAnsi" w:cstheme="majorBidi"/>
      <w:i/>
      <w:smallCaps/>
      <w:color w:val="000000" w:themeColor="text1"/>
      <w:sz w:val="26"/>
      <w:szCs w:val="26"/>
    </w:rPr>
  </w:style>
  <w:style w:type="paragraph" w:styleId="ListParagraph">
    <w:name w:val="List Paragraph"/>
    <w:basedOn w:val="Normal"/>
    <w:uiPriority w:val="34"/>
    <w:qFormat/>
    <w:rsid w:val="00283E3E"/>
    <w:pPr>
      <w:numPr>
        <w:numId w:val="1"/>
      </w:numPr>
      <w:tabs>
        <w:tab w:val="left" w:pos="1728"/>
      </w:tabs>
      <w:jc w:val="both"/>
    </w:pPr>
  </w:style>
  <w:style w:type="paragraph" w:styleId="BalloonText">
    <w:name w:val="Balloon Text"/>
    <w:basedOn w:val="Normal"/>
    <w:link w:val="BalloonTextChar"/>
    <w:uiPriority w:val="99"/>
    <w:semiHidden/>
    <w:unhideWhenUsed/>
    <w:rsid w:val="00C70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40"/>
    <w:rPr>
      <w:rFonts w:ascii="Segoe UI" w:hAnsi="Segoe UI" w:cs="Segoe UI"/>
      <w:sz w:val="18"/>
      <w:szCs w:val="18"/>
    </w:rPr>
  </w:style>
  <w:style w:type="paragraph" w:customStyle="1" w:styleId="RC-comments">
    <w:name w:val="RC-comments"/>
    <w:basedOn w:val="Normal"/>
    <w:qFormat/>
    <w:rsid w:val="009047C8"/>
    <w:pPr>
      <w:spacing w:after="20"/>
      <w:contextualSpacing/>
      <w:jc w:val="center"/>
    </w:pPr>
    <w:rPr>
      <w:i/>
      <w:sz w:val="16"/>
    </w:rPr>
  </w:style>
  <w:style w:type="table" w:styleId="TableGrid">
    <w:name w:val="Table Grid"/>
    <w:basedOn w:val="TableNormal"/>
    <w:uiPriority w:val="39"/>
    <w:rsid w:val="0017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042E9"/>
    <w:rPr>
      <w:sz w:val="16"/>
      <w:szCs w:val="20"/>
    </w:rPr>
  </w:style>
  <w:style w:type="character" w:customStyle="1" w:styleId="FootnoteTextChar">
    <w:name w:val="Footnote Text Char"/>
    <w:basedOn w:val="DefaultParagraphFont"/>
    <w:link w:val="FootnoteText"/>
    <w:uiPriority w:val="99"/>
    <w:rsid w:val="00C042E9"/>
    <w:rPr>
      <w:sz w:val="16"/>
      <w:szCs w:val="20"/>
    </w:rPr>
  </w:style>
  <w:style w:type="character" w:styleId="FootnoteReference">
    <w:name w:val="footnote reference"/>
    <w:basedOn w:val="DefaultParagraphFont"/>
    <w:uiPriority w:val="99"/>
    <w:semiHidden/>
    <w:unhideWhenUsed/>
    <w:rsid w:val="00C042E9"/>
    <w:rPr>
      <w:vertAlign w:val="superscript"/>
    </w:rPr>
  </w:style>
  <w:style w:type="paragraph" w:customStyle="1" w:styleId="BodyA">
    <w:name w:val="Body A"/>
    <w:rsid w:val="00487397"/>
    <w:pPr>
      <w:pBdr>
        <w:top w:val="nil"/>
        <w:left w:val="nil"/>
        <w:bottom w:val="nil"/>
        <w:right w:val="nil"/>
        <w:between w:val="nil"/>
        <w:bar w:val="nil"/>
      </w:pBdr>
      <w:spacing w:after="200" w:line="276" w:lineRule="auto"/>
    </w:pPr>
    <w:rPr>
      <w:color w:val="000000"/>
      <w:u w:color="000000"/>
      <w:bdr w:val="nil"/>
    </w:rPr>
  </w:style>
  <w:style w:type="character" w:styleId="CommentReference">
    <w:name w:val="annotation reference"/>
    <w:basedOn w:val="DefaultParagraphFont"/>
    <w:uiPriority w:val="99"/>
    <w:semiHidden/>
    <w:unhideWhenUsed/>
    <w:rsid w:val="00F03739"/>
    <w:rPr>
      <w:sz w:val="16"/>
      <w:szCs w:val="16"/>
    </w:rPr>
  </w:style>
  <w:style w:type="paragraph" w:styleId="CommentText">
    <w:name w:val="annotation text"/>
    <w:basedOn w:val="Normal"/>
    <w:link w:val="CommentTextChar"/>
    <w:uiPriority w:val="99"/>
    <w:semiHidden/>
    <w:unhideWhenUsed/>
    <w:rsid w:val="00F03739"/>
    <w:rPr>
      <w:szCs w:val="20"/>
    </w:rPr>
  </w:style>
  <w:style w:type="character" w:customStyle="1" w:styleId="CommentTextChar">
    <w:name w:val="Comment Text Char"/>
    <w:basedOn w:val="DefaultParagraphFont"/>
    <w:link w:val="CommentText"/>
    <w:uiPriority w:val="99"/>
    <w:semiHidden/>
    <w:rsid w:val="00F03739"/>
    <w:rPr>
      <w:sz w:val="20"/>
      <w:szCs w:val="20"/>
    </w:rPr>
  </w:style>
  <w:style w:type="paragraph" w:styleId="CommentSubject">
    <w:name w:val="annotation subject"/>
    <w:basedOn w:val="CommentText"/>
    <w:next w:val="CommentText"/>
    <w:link w:val="CommentSubjectChar"/>
    <w:uiPriority w:val="99"/>
    <w:semiHidden/>
    <w:unhideWhenUsed/>
    <w:rsid w:val="00F03739"/>
    <w:rPr>
      <w:b/>
      <w:bCs/>
    </w:rPr>
  </w:style>
  <w:style w:type="character" w:customStyle="1" w:styleId="CommentSubjectChar">
    <w:name w:val="Comment Subject Char"/>
    <w:basedOn w:val="CommentTextChar"/>
    <w:link w:val="CommentSubject"/>
    <w:uiPriority w:val="99"/>
    <w:semiHidden/>
    <w:rsid w:val="00F03739"/>
    <w:rPr>
      <w:b/>
      <w:bCs/>
      <w:sz w:val="20"/>
      <w:szCs w:val="20"/>
    </w:rPr>
  </w:style>
  <w:style w:type="paragraph" w:styleId="Header">
    <w:name w:val="header"/>
    <w:basedOn w:val="Normal"/>
    <w:link w:val="HeaderChar"/>
    <w:uiPriority w:val="99"/>
    <w:unhideWhenUsed/>
    <w:rsid w:val="00FD28F7"/>
    <w:pPr>
      <w:tabs>
        <w:tab w:val="center" w:pos="4680"/>
        <w:tab w:val="right" w:pos="9360"/>
      </w:tabs>
    </w:pPr>
  </w:style>
  <w:style w:type="character" w:customStyle="1" w:styleId="HeaderChar">
    <w:name w:val="Header Char"/>
    <w:basedOn w:val="DefaultParagraphFont"/>
    <w:link w:val="Header"/>
    <w:uiPriority w:val="99"/>
    <w:rsid w:val="00FD28F7"/>
    <w:rPr>
      <w:sz w:val="20"/>
    </w:rPr>
  </w:style>
  <w:style w:type="paragraph" w:styleId="Footer">
    <w:name w:val="footer"/>
    <w:basedOn w:val="Normal"/>
    <w:link w:val="FooterChar"/>
    <w:uiPriority w:val="99"/>
    <w:unhideWhenUsed/>
    <w:rsid w:val="00FD28F7"/>
    <w:pPr>
      <w:tabs>
        <w:tab w:val="center" w:pos="4680"/>
        <w:tab w:val="right" w:pos="9360"/>
      </w:tabs>
    </w:pPr>
  </w:style>
  <w:style w:type="character" w:customStyle="1" w:styleId="FooterChar">
    <w:name w:val="Footer Char"/>
    <w:basedOn w:val="DefaultParagraphFont"/>
    <w:link w:val="Footer"/>
    <w:uiPriority w:val="99"/>
    <w:rsid w:val="00FD28F7"/>
    <w:rPr>
      <w:sz w:val="20"/>
    </w:rPr>
  </w:style>
  <w:style w:type="character" w:customStyle="1" w:styleId="UnresolvedMention1">
    <w:name w:val="Unresolved Mention1"/>
    <w:basedOn w:val="DefaultParagraphFont"/>
    <w:uiPriority w:val="99"/>
    <w:semiHidden/>
    <w:unhideWhenUsed/>
    <w:rsid w:val="007701B9"/>
    <w:rPr>
      <w:color w:val="808080"/>
      <w:shd w:val="clear" w:color="auto" w:fill="E6E6E6"/>
    </w:rPr>
  </w:style>
  <w:style w:type="paragraph" w:styleId="Revision">
    <w:name w:val="Revision"/>
    <w:hidden/>
    <w:uiPriority w:val="99"/>
    <w:semiHidden/>
    <w:rsid w:val="00331E29"/>
  </w:style>
  <w:style w:type="character" w:styleId="FollowedHyperlink">
    <w:name w:val="FollowedHyperlink"/>
    <w:basedOn w:val="DefaultParagraphFont"/>
    <w:uiPriority w:val="99"/>
    <w:semiHidden/>
    <w:unhideWhenUsed/>
    <w:rsid w:val="005614C8"/>
    <w:rPr>
      <w:color w:val="954F72" w:themeColor="followedHyperlink"/>
      <w:u w:val="single"/>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29" w:type="dxa"/>
        <w:right w:w="29" w:type="dxa"/>
      </w:tblCellMar>
    </w:tblPr>
  </w:style>
  <w:style w:type="table" w:customStyle="1" w:styleId="a5">
    <w:basedOn w:val="TableNormal"/>
    <w:tblPr>
      <w:tblStyleRowBandSize w:val="1"/>
      <w:tblStyleColBandSize w:val="1"/>
      <w:tblCellMar>
        <w:left w:w="29" w:type="dxa"/>
        <w:right w:w="29" w:type="dxa"/>
      </w:tblCellMar>
    </w:tblPr>
  </w:style>
  <w:style w:type="table" w:customStyle="1" w:styleId="a6">
    <w:basedOn w:val="TableNormal"/>
    <w:tblPr>
      <w:tblStyleRowBandSize w:val="1"/>
      <w:tblStyleColBandSize w:val="1"/>
      <w:tblCellMar>
        <w:left w:w="29" w:type="dxa"/>
        <w:right w:w="29"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paragraph" w:styleId="NormalWeb">
    <w:name w:val="Normal (Web)"/>
    <w:basedOn w:val="Normal"/>
    <w:uiPriority w:val="99"/>
    <w:semiHidden/>
    <w:unhideWhenUsed/>
    <w:rsid w:val="00C966B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06">
      <w:bodyDiv w:val="1"/>
      <w:marLeft w:val="0"/>
      <w:marRight w:val="0"/>
      <w:marTop w:val="0"/>
      <w:marBottom w:val="0"/>
      <w:divBdr>
        <w:top w:val="none" w:sz="0" w:space="0" w:color="auto"/>
        <w:left w:val="none" w:sz="0" w:space="0" w:color="auto"/>
        <w:bottom w:val="none" w:sz="0" w:space="0" w:color="auto"/>
        <w:right w:val="none" w:sz="0" w:space="0" w:color="auto"/>
      </w:divBdr>
    </w:div>
    <w:div w:id="12928364">
      <w:bodyDiv w:val="1"/>
      <w:marLeft w:val="0"/>
      <w:marRight w:val="0"/>
      <w:marTop w:val="0"/>
      <w:marBottom w:val="0"/>
      <w:divBdr>
        <w:top w:val="none" w:sz="0" w:space="0" w:color="auto"/>
        <w:left w:val="none" w:sz="0" w:space="0" w:color="auto"/>
        <w:bottom w:val="none" w:sz="0" w:space="0" w:color="auto"/>
        <w:right w:val="none" w:sz="0" w:space="0" w:color="auto"/>
      </w:divBdr>
    </w:div>
    <w:div w:id="20865761">
      <w:bodyDiv w:val="1"/>
      <w:marLeft w:val="0"/>
      <w:marRight w:val="0"/>
      <w:marTop w:val="0"/>
      <w:marBottom w:val="0"/>
      <w:divBdr>
        <w:top w:val="none" w:sz="0" w:space="0" w:color="auto"/>
        <w:left w:val="none" w:sz="0" w:space="0" w:color="auto"/>
        <w:bottom w:val="none" w:sz="0" w:space="0" w:color="auto"/>
        <w:right w:val="none" w:sz="0" w:space="0" w:color="auto"/>
      </w:divBdr>
    </w:div>
    <w:div w:id="35661757">
      <w:bodyDiv w:val="1"/>
      <w:marLeft w:val="0"/>
      <w:marRight w:val="0"/>
      <w:marTop w:val="0"/>
      <w:marBottom w:val="0"/>
      <w:divBdr>
        <w:top w:val="none" w:sz="0" w:space="0" w:color="auto"/>
        <w:left w:val="none" w:sz="0" w:space="0" w:color="auto"/>
        <w:bottom w:val="none" w:sz="0" w:space="0" w:color="auto"/>
        <w:right w:val="none" w:sz="0" w:space="0" w:color="auto"/>
      </w:divBdr>
    </w:div>
    <w:div w:id="56440361">
      <w:bodyDiv w:val="1"/>
      <w:marLeft w:val="0"/>
      <w:marRight w:val="0"/>
      <w:marTop w:val="0"/>
      <w:marBottom w:val="0"/>
      <w:divBdr>
        <w:top w:val="none" w:sz="0" w:space="0" w:color="auto"/>
        <w:left w:val="none" w:sz="0" w:space="0" w:color="auto"/>
        <w:bottom w:val="none" w:sz="0" w:space="0" w:color="auto"/>
        <w:right w:val="none" w:sz="0" w:space="0" w:color="auto"/>
      </w:divBdr>
    </w:div>
    <w:div w:id="149564554">
      <w:bodyDiv w:val="1"/>
      <w:marLeft w:val="0"/>
      <w:marRight w:val="0"/>
      <w:marTop w:val="0"/>
      <w:marBottom w:val="0"/>
      <w:divBdr>
        <w:top w:val="none" w:sz="0" w:space="0" w:color="auto"/>
        <w:left w:val="none" w:sz="0" w:space="0" w:color="auto"/>
        <w:bottom w:val="none" w:sz="0" w:space="0" w:color="auto"/>
        <w:right w:val="none" w:sz="0" w:space="0" w:color="auto"/>
      </w:divBdr>
    </w:div>
    <w:div w:id="182593770">
      <w:bodyDiv w:val="1"/>
      <w:marLeft w:val="0"/>
      <w:marRight w:val="0"/>
      <w:marTop w:val="0"/>
      <w:marBottom w:val="0"/>
      <w:divBdr>
        <w:top w:val="none" w:sz="0" w:space="0" w:color="auto"/>
        <w:left w:val="none" w:sz="0" w:space="0" w:color="auto"/>
        <w:bottom w:val="none" w:sz="0" w:space="0" w:color="auto"/>
        <w:right w:val="none" w:sz="0" w:space="0" w:color="auto"/>
      </w:divBdr>
    </w:div>
    <w:div w:id="196548367">
      <w:bodyDiv w:val="1"/>
      <w:marLeft w:val="0"/>
      <w:marRight w:val="0"/>
      <w:marTop w:val="0"/>
      <w:marBottom w:val="0"/>
      <w:divBdr>
        <w:top w:val="none" w:sz="0" w:space="0" w:color="auto"/>
        <w:left w:val="none" w:sz="0" w:space="0" w:color="auto"/>
        <w:bottom w:val="none" w:sz="0" w:space="0" w:color="auto"/>
        <w:right w:val="none" w:sz="0" w:space="0" w:color="auto"/>
      </w:divBdr>
    </w:div>
    <w:div w:id="228733372">
      <w:bodyDiv w:val="1"/>
      <w:marLeft w:val="0"/>
      <w:marRight w:val="0"/>
      <w:marTop w:val="0"/>
      <w:marBottom w:val="0"/>
      <w:divBdr>
        <w:top w:val="none" w:sz="0" w:space="0" w:color="auto"/>
        <w:left w:val="none" w:sz="0" w:space="0" w:color="auto"/>
        <w:bottom w:val="none" w:sz="0" w:space="0" w:color="auto"/>
        <w:right w:val="none" w:sz="0" w:space="0" w:color="auto"/>
      </w:divBdr>
    </w:div>
    <w:div w:id="262106246">
      <w:bodyDiv w:val="1"/>
      <w:marLeft w:val="0"/>
      <w:marRight w:val="0"/>
      <w:marTop w:val="0"/>
      <w:marBottom w:val="0"/>
      <w:divBdr>
        <w:top w:val="none" w:sz="0" w:space="0" w:color="auto"/>
        <w:left w:val="none" w:sz="0" w:space="0" w:color="auto"/>
        <w:bottom w:val="none" w:sz="0" w:space="0" w:color="auto"/>
        <w:right w:val="none" w:sz="0" w:space="0" w:color="auto"/>
      </w:divBdr>
    </w:div>
    <w:div w:id="405884566">
      <w:bodyDiv w:val="1"/>
      <w:marLeft w:val="0"/>
      <w:marRight w:val="0"/>
      <w:marTop w:val="0"/>
      <w:marBottom w:val="0"/>
      <w:divBdr>
        <w:top w:val="none" w:sz="0" w:space="0" w:color="auto"/>
        <w:left w:val="none" w:sz="0" w:space="0" w:color="auto"/>
        <w:bottom w:val="none" w:sz="0" w:space="0" w:color="auto"/>
        <w:right w:val="none" w:sz="0" w:space="0" w:color="auto"/>
      </w:divBdr>
    </w:div>
    <w:div w:id="583226147">
      <w:bodyDiv w:val="1"/>
      <w:marLeft w:val="0"/>
      <w:marRight w:val="0"/>
      <w:marTop w:val="0"/>
      <w:marBottom w:val="0"/>
      <w:divBdr>
        <w:top w:val="none" w:sz="0" w:space="0" w:color="auto"/>
        <w:left w:val="none" w:sz="0" w:space="0" w:color="auto"/>
        <w:bottom w:val="none" w:sz="0" w:space="0" w:color="auto"/>
        <w:right w:val="none" w:sz="0" w:space="0" w:color="auto"/>
      </w:divBdr>
    </w:div>
    <w:div w:id="660088347">
      <w:bodyDiv w:val="1"/>
      <w:marLeft w:val="0"/>
      <w:marRight w:val="0"/>
      <w:marTop w:val="0"/>
      <w:marBottom w:val="0"/>
      <w:divBdr>
        <w:top w:val="none" w:sz="0" w:space="0" w:color="auto"/>
        <w:left w:val="none" w:sz="0" w:space="0" w:color="auto"/>
        <w:bottom w:val="none" w:sz="0" w:space="0" w:color="auto"/>
        <w:right w:val="none" w:sz="0" w:space="0" w:color="auto"/>
      </w:divBdr>
    </w:div>
    <w:div w:id="672801545">
      <w:bodyDiv w:val="1"/>
      <w:marLeft w:val="0"/>
      <w:marRight w:val="0"/>
      <w:marTop w:val="0"/>
      <w:marBottom w:val="0"/>
      <w:divBdr>
        <w:top w:val="none" w:sz="0" w:space="0" w:color="auto"/>
        <w:left w:val="none" w:sz="0" w:space="0" w:color="auto"/>
        <w:bottom w:val="none" w:sz="0" w:space="0" w:color="auto"/>
        <w:right w:val="none" w:sz="0" w:space="0" w:color="auto"/>
      </w:divBdr>
    </w:div>
    <w:div w:id="814103349">
      <w:bodyDiv w:val="1"/>
      <w:marLeft w:val="0"/>
      <w:marRight w:val="0"/>
      <w:marTop w:val="0"/>
      <w:marBottom w:val="0"/>
      <w:divBdr>
        <w:top w:val="none" w:sz="0" w:space="0" w:color="auto"/>
        <w:left w:val="none" w:sz="0" w:space="0" w:color="auto"/>
        <w:bottom w:val="none" w:sz="0" w:space="0" w:color="auto"/>
        <w:right w:val="none" w:sz="0" w:space="0" w:color="auto"/>
      </w:divBdr>
    </w:div>
    <w:div w:id="821893316">
      <w:bodyDiv w:val="1"/>
      <w:marLeft w:val="0"/>
      <w:marRight w:val="0"/>
      <w:marTop w:val="0"/>
      <w:marBottom w:val="0"/>
      <w:divBdr>
        <w:top w:val="none" w:sz="0" w:space="0" w:color="auto"/>
        <w:left w:val="none" w:sz="0" w:space="0" w:color="auto"/>
        <w:bottom w:val="none" w:sz="0" w:space="0" w:color="auto"/>
        <w:right w:val="none" w:sz="0" w:space="0" w:color="auto"/>
      </w:divBdr>
    </w:div>
    <w:div w:id="847987199">
      <w:bodyDiv w:val="1"/>
      <w:marLeft w:val="0"/>
      <w:marRight w:val="0"/>
      <w:marTop w:val="0"/>
      <w:marBottom w:val="0"/>
      <w:divBdr>
        <w:top w:val="none" w:sz="0" w:space="0" w:color="auto"/>
        <w:left w:val="none" w:sz="0" w:space="0" w:color="auto"/>
        <w:bottom w:val="none" w:sz="0" w:space="0" w:color="auto"/>
        <w:right w:val="none" w:sz="0" w:space="0" w:color="auto"/>
      </w:divBdr>
    </w:div>
    <w:div w:id="870538248">
      <w:bodyDiv w:val="1"/>
      <w:marLeft w:val="0"/>
      <w:marRight w:val="0"/>
      <w:marTop w:val="0"/>
      <w:marBottom w:val="0"/>
      <w:divBdr>
        <w:top w:val="none" w:sz="0" w:space="0" w:color="auto"/>
        <w:left w:val="none" w:sz="0" w:space="0" w:color="auto"/>
        <w:bottom w:val="none" w:sz="0" w:space="0" w:color="auto"/>
        <w:right w:val="none" w:sz="0" w:space="0" w:color="auto"/>
      </w:divBdr>
    </w:div>
    <w:div w:id="908224754">
      <w:bodyDiv w:val="1"/>
      <w:marLeft w:val="0"/>
      <w:marRight w:val="0"/>
      <w:marTop w:val="0"/>
      <w:marBottom w:val="0"/>
      <w:divBdr>
        <w:top w:val="none" w:sz="0" w:space="0" w:color="auto"/>
        <w:left w:val="none" w:sz="0" w:space="0" w:color="auto"/>
        <w:bottom w:val="none" w:sz="0" w:space="0" w:color="auto"/>
        <w:right w:val="none" w:sz="0" w:space="0" w:color="auto"/>
      </w:divBdr>
    </w:div>
    <w:div w:id="954942591">
      <w:bodyDiv w:val="1"/>
      <w:marLeft w:val="0"/>
      <w:marRight w:val="0"/>
      <w:marTop w:val="0"/>
      <w:marBottom w:val="0"/>
      <w:divBdr>
        <w:top w:val="none" w:sz="0" w:space="0" w:color="auto"/>
        <w:left w:val="none" w:sz="0" w:space="0" w:color="auto"/>
        <w:bottom w:val="none" w:sz="0" w:space="0" w:color="auto"/>
        <w:right w:val="none" w:sz="0" w:space="0" w:color="auto"/>
      </w:divBdr>
    </w:div>
    <w:div w:id="980111177">
      <w:bodyDiv w:val="1"/>
      <w:marLeft w:val="0"/>
      <w:marRight w:val="0"/>
      <w:marTop w:val="0"/>
      <w:marBottom w:val="0"/>
      <w:divBdr>
        <w:top w:val="none" w:sz="0" w:space="0" w:color="auto"/>
        <w:left w:val="none" w:sz="0" w:space="0" w:color="auto"/>
        <w:bottom w:val="none" w:sz="0" w:space="0" w:color="auto"/>
        <w:right w:val="none" w:sz="0" w:space="0" w:color="auto"/>
      </w:divBdr>
    </w:div>
    <w:div w:id="1010136504">
      <w:bodyDiv w:val="1"/>
      <w:marLeft w:val="0"/>
      <w:marRight w:val="0"/>
      <w:marTop w:val="0"/>
      <w:marBottom w:val="0"/>
      <w:divBdr>
        <w:top w:val="none" w:sz="0" w:space="0" w:color="auto"/>
        <w:left w:val="none" w:sz="0" w:space="0" w:color="auto"/>
        <w:bottom w:val="none" w:sz="0" w:space="0" w:color="auto"/>
        <w:right w:val="none" w:sz="0" w:space="0" w:color="auto"/>
      </w:divBdr>
    </w:div>
    <w:div w:id="1035236107">
      <w:bodyDiv w:val="1"/>
      <w:marLeft w:val="0"/>
      <w:marRight w:val="0"/>
      <w:marTop w:val="0"/>
      <w:marBottom w:val="0"/>
      <w:divBdr>
        <w:top w:val="none" w:sz="0" w:space="0" w:color="auto"/>
        <w:left w:val="none" w:sz="0" w:space="0" w:color="auto"/>
        <w:bottom w:val="none" w:sz="0" w:space="0" w:color="auto"/>
        <w:right w:val="none" w:sz="0" w:space="0" w:color="auto"/>
      </w:divBdr>
    </w:div>
    <w:div w:id="1096902987">
      <w:bodyDiv w:val="1"/>
      <w:marLeft w:val="0"/>
      <w:marRight w:val="0"/>
      <w:marTop w:val="0"/>
      <w:marBottom w:val="0"/>
      <w:divBdr>
        <w:top w:val="none" w:sz="0" w:space="0" w:color="auto"/>
        <w:left w:val="none" w:sz="0" w:space="0" w:color="auto"/>
        <w:bottom w:val="none" w:sz="0" w:space="0" w:color="auto"/>
        <w:right w:val="none" w:sz="0" w:space="0" w:color="auto"/>
      </w:divBdr>
    </w:div>
    <w:div w:id="1124537188">
      <w:bodyDiv w:val="1"/>
      <w:marLeft w:val="0"/>
      <w:marRight w:val="0"/>
      <w:marTop w:val="0"/>
      <w:marBottom w:val="0"/>
      <w:divBdr>
        <w:top w:val="none" w:sz="0" w:space="0" w:color="auto"/>
        <w:left w:val="none" w:sz="0" w:space="0" w:color="auto"/>
        <w:bottom w:val="none" w:sz="0" w:space="0" w:color="auto"/>
        <w:right w:val="none" w:sz="0" w:space="0" w:color="auto"/>
      </w:divBdr>
    </w:div>
    <w:div w:id="1146506269">
      <w:bodyDiv w:val="1"/>
      <w:marLeft w:val="0"/>
      <w:marRight w:val="0"/>
      <w:marTop w:val="0"/>
      <w:marBottom w:val="0"/>
      <w:divBdr>
        <w:top w:val="none" w:sz="0" w:space="0" w:color="auto"/>
        <w:left w:val="none" w:sz="0" w:space="0" w:color="auto"/>
        <w:bottom w:val="none" w:sz="0" w:space="0" w:color="auto"/>
        <w:right w:val="none" w:sz="0" w:space="0" w:color="auto"/>
      </w:divBdr>
    </w:div>
    <w:div w:id="1183280604">
      <w:bodyDiv w:val="1"/>
      <w:marLeft w:val="0"/>
      <w:marRight w:val="0"/>
      <w:marTop w:val="0"/>
      <w:marBottom w:val="0"/>
      <w:divBdr>
        <w:top w:val="none" w:sz="0" w:space="0" w:color="auto"/>
        <w:left w:val="none" w:sz="0" w:space="0" w:color="auto"/>
        <w:bottom w:val="none" w:sz="0" w:space="0" w:color="auto"/>
        <w:right w:val="none" w:sz="0" w:space="0" w:color="auto"/>
      </w:divBdr>
    </w:div>
    <w:div w:id="1223784609">
      <w:bodyDiv w:val="1"/>
      <w:marLeft w:val="0"/>
      <w:marRight w:val="0"/>
      <w:marTop w:val="0"/>
      <w:marBottom w:val="0"/>
      <w:divBdr>
        <w:top w:val="none" w:sz="0" w:space="0" w:color="auto"/>
        <w:left w:val="none" w:sz="0" w:space="0" w:color="auto"/>
        <w:bottom w:val="none" w:sz="0" w:space="0" w:color="auto"/>
        <w:right w:val="none" w:sz="0" w:space="0" w:color="auto"/>
      </w:divBdr>
    </w:div>
    <w:div w:id="1236745754">
      <w:bodyDiv w:val="1"/>
      <w:marLeft w:val="0"/>
      <w:marRight w:val="0"/>
      <w:marTop w:val="0"/>
      <w:marBottom w:val="0"/>
      <w:divBdr>
        <w:top w:val="none" w:sz="0" w:space="0" w:color="auto"/>
        <w:left w:val="none" w:sz="0" w:space="0" w:color="auto"/>
        <w:bottom w:val="none" w:sz="0" w:space="0" w:color="auto"/>
        <w:right w:val="none" w:sz="0" w:space="0" w:color="auto"/>
      </w:divBdr>
    </w:div>
    <w:div w:id="1237744449">
      <w:bodyDiv w:val="1"/>
      <w:marLeft w:val="0"/>
      <w:marRight w:val="0"/>
      <w:marTop w:val="0"/>
      <w:marBottom w:val="0"/>
      <w:divBdr>
        <w:top w:val="none" w:sz="0" w:space="0" w:color="auto"/>
        <w:left w:val="none" w:sz="0" w:space="0" w:color="auto"/>
        <w:bottom w:val="none" w:sz="0" w:space="0" w:color="auto"/>
        <w:right w:val="none" w:sz="0" w:space="0" w:color="auto"/>
      </w:divBdr>
    </w:div>
    <w:div w:id="1395660083">
      <w:bodyDiv w:val="1"/>
      <w:marLeft w:val="0"/>
      <w:marRight w:val="0"/>
      <w:marTop w:val="0"/>
      <w:marBottom w:val="0"/>
      <w:divBdr>
        <w:top w:val="none" w:sz="0" w:space="0" w:color="auto"/>
        <w:left w:val="none" w:sz="0" w:space="0" w:color="auto"/>
        <w:bottom w:val="none" w:sz="0" w:space="0" w:color="auto"/>
        <w:right w:val="none" w:sz="0" w:space="0" w:color="auto"/>
      </w:divBdr>
    </w:div>
    <w:div w:id="1467963702">
      <w:bodyDiv w:val="1"/>
      <w:marLeft w:val="0"/>
      <w:marRight w:val="0"/>
      <w:marTop w:val="0"/>
      <w:marBottom w:val="0"/>
      <w:divBdr>
        <w:top w:val="none" w:sz="0" w:space="0" w:color="auto"/>
        <w:left w:val="none" w:sz="0" w:space="0" w:color="auto"/>
        <w:bottom w:val="none" w:sz="0" w:space="0" w:color="auto"/>
        <w:right w:val="none" w:sz="0" w:space="0" w:color="auto"/>
      </w:divBdr>
    </w:div>
    <w:div w:id="1520315011">
      <w:bodyDiv w:val="1"/>
      <w:marLeft w:val="0"/>
      <w:marRight w:val="0"/>
      <w:marTop w:val="0"/>
      <w:marBottom w:val="0"/>
      <w:divBdr>
        <w:top w:val="none" w:sz="0" w:space="0" w:color="auto"/>
        <w:left w:val="none" w:sz="0" w:space="0" w:color="auto"/>
        <w:bottom w:val="none" w:sz="0" w:space="0" w:color="auto"/>
        <w:right w:val="none" w:sz="0" w:space="0" w:color="auto"/>
      </w:divBdr>
    </w:div>
    <w:div w:id="1776822357">
      <w:bodyDiv w:val="1"/>
      <w:marLeft w:val="0"/>
      <w:marRight w:val="0"/>
      <w:marTop w:val="0"/>
      <w:marBottom w:val="0"/>
      <w:divBdr>
        <w:top w:val="none" w:sz="0" w:space="0" w:color="auto"/>
        <w:left w:val="none" w:sz="0" w:space="0" w:color="auto"/>
        <w:bottom w:val="none" w:sz="0" w:space="0" w:color="auto"/>
        <w:right w:val="none" w:sz="0" w:space="0" w:color="auto"/>
      </w:divBdr>
    </w:div>
    <w:div w:id="1813716426">
      <w:bodyDiv w:val="1"/>
      <w:marLeft w:val="0"/>
      <w:marRight w:val="0"/>
      <w:marTop w:val="0"/>
      <w:marBottom w:val="0"/>
      <w:divBdr>
        <w:top w:val="none" w:sz="0" w:space="0" w:color="auto"/>
        <w:left w:val="none" w:sz="0" w:space="0" w:color="auto"/>
        <w:bottom w:val="none" w:sz="0" w:space="0" w:color="auto"/>
        <w:right w:val="none" w:sz="0" w:space="0" w:color="auto"/>
      </w:divBdr>
    </w:div>
    <w:div w:id="186817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nerc@rowa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rowan.edu/registrar/services-resources/section-tally-inf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rowan.edu/financial-aid/cost-of-attendance/annual-coa-222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wan.edu/catalo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s1jSq1tv3UfByCmPF+VFpRjfyw==">AMUW2mWGNz6Xe+DB5IUr/Z8FQKyj61uBFxKGQJLs2FoSuNX6nDOUTdVX5h8/IC3VMxMLZugHpTU3Q5Tt6BbGtR1sQVbhbsjHzrFv1T/8pUMqofWGgymFOu0jJDHNczQZCa3n4HC9+Sfx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Nathan J</dc:creator>
  <cp:lastModifiedBy>Michener, Catherine</cp:lastModifiedBy>
  <cp:revision>2</cp:revision>
  <dcterms:created xsi:type="dcterms:W3CDTF">2025-07-08T15:19:00Z</dcterms:created>
  <dcterms:modified xsi:type="dcterms:W3CDTF">2025-07-08T15:19:00Z</dcterms:modified>
</cp:coreProperties>
</file>