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7D2" w:rsidRDefault="002937D2" w:rsidP="002937D2">
      <w:pPr>
        <w:jc w:val="center"/>
        <w:rPr>
          <w:b/>
          <w:color w:val="AEAAAA" w:themeColor="background2" w:themeShade="BF"/>
          <w:sz w:val="32"/>
          <w:szCs w:val="32"/>
        </w:rPr>
      </w:pPr>
    </w:p>
    <w:p w:rsidR="002937D2" w:rsidRDefault="002937D2" w:rsidP="002937D2">
      <w:pPr>
        <w:jc w:val="center"/>
        <w:rPr>
          <w:b/>
          <w:color w:val="AEAAAA" w:themeColor="background2" w:themeShade="BF"/>
          <w:sz w:val="32"/>
          <w:szCs w:val="32"/>
        </w:rPr>
      </w:pPr>
    </w:p>
    <w:p w:rsidR="002937D2" w:rsidRDefault="002937D2" w:rsidP="002937D2">
      <w:pPr>
        <w:jc w:val="center"/>
        <w:rPr>
          <w:b/>
          <w:color w:val="AEAAAA" w:themeColor="background2" w:themeShade="BF"/>
          <w:sz w:val="32"/>
          <w:szCs w:val="32"/>
        </w:rPr>
      </w:pPr>
    </w:p>
    <w:p w:rsidR="002937D2" w:rsidRPr="002937D2" w:rsidRDefault="002937D2" w:rsidP="002937D2">
      <w:pPr>
        <w:jc w:val="center"/>
        <w:rPr>
          <w:sz w:val="28"/>
          <w:szCs w:val="28"/>
        </w:rPr>
      </w:pPr>
      <w:r w:rsidRPr="002937D2">
        <w:rPr>
          <w:color w:val="3B3838" w:themeColor="background2" w:themeShade="40"/>
          <w:sz w:val="28"/>
          <w:szCs w:val="28"/>
        </w:rPr>
        <w:t xml:space="preserve">CAEP Annual Reporting Measure 7: Employment Information – Ability to Be Hired </w:t>
      </w:r>
    </w:p>
    <w:p w:rsidR="002937D2" w:rsidRDefault="002937D2" w:rsidP="002937D2">
      <w:pPr>
        <w:jc w:val="center"/>
      </w:pPr>
    </w:p>
    <w:p w:rsidR="002937D2" w:rsidRDefault="002937D2" w:rsidP="002937D2">
      <w:pPr>
        <w:jc w:val="center"/>
      </w:pPr>
    </w:p>
    <w:p w:rsidR="002937D2" w:rsidRDefault="002937D2" w:rsidP="002937D2">
      <w:pPr>
        <w:jc w:val="center"/>
        <w:rPr>
          <w:b/>
          <w:color w:val="AEAAAA" w:themeColor="background2" w:themeShade="BF"/>
          <w:sz w:val="32"/>
          <w:szCs w:val="32"/>
        </w:rPr>
      </w:pPr>
      <w:r>
        <w:t>In the current environment, with districts desperate to hire highly qualified, certified teachers, Rowan University graduates are well positioned and often receive job offers from multiple school districts prior to and immediately following graduation. Though the EPP has anecdotal information regarding graduates who retain employment out of state, the most reliable employment data is provided by the New Jersey Department of Education’s annual Educator Preparation Provider Performance Reports which provide the institution with data which track completers as they begin their in-service experience</w:t>
      </w:r>
      <w:r>
        <w:t>-employment data is provided for candidates two years following the completion of their program.</w:t>
      </w:r>
    </w:p>
    <w:p w:rsidR="002937D2" w:rsidRDefault="002937D2" w:rsidP="002937D2">
      <w:pPr>
        <w:jc w:val="center"/>
        <w:rPr>
          <w:b/>
          <w:color w:val="AEAAAA" w:themeColor="background2" w:themeShade="BF"/>
          <w:sz w:val="32"/>
          <w:szCs w:val="32"/>
        </w:rPr>
      </w:pPr>
    </w:p>
    <w:p w:rsidR="002937D2" w:rsidRDefault="002937D2" w:rsidP="002937D2">
      <w:pPr>
        <w:jc w:val="center"/>
        <w:rPr>
          <w:b/>
          <w:color w:val="AEAAAA" w:themeColor="background2" w:themeShade="BF"/>
          <w:sz w:val="32"/>
          <w:szCs w:val="32"/>
        </w:rPr>
      </w:pPr>
    </w:p>
    <w:p w:rsidR="002937D2" w:rsidRDefault="002937D2" w:rsidP="002937D2">
      <w:pPr>
        <w:jc w:val="center"/>
        <w:rPr>
          <w:b/>
          <w:color w:val="AEAAAA" w:themeColor="background2" w:themeShade="BF"/>
          <w:sz w:val="32"/>
          <w:szCs w:val="32"/>
        </w:rPr>
      </w:pPr>
    </w:p>
    <w:p w:rsidR="002937D2" w:rsidRDefault="002937D2" w:rsidP="002937D2">
      <w:pPr>
        <w:jc w:val="center"/>
        <w:rPr>
          <w:b/>
          <w:sz w:val="36"/>
          <w:szCs w:val="36"/>
          <w:u w:val="single"/>
        </w:rPr>
      </w:pPr>
      <w:r w:rsidRPr="002937D2">
        <w:rPr>
          <w:b/>
          <w:sz w:val="36"/>
          <w:szCs w:val="36"/>
          <w:u w:val="single"/>
        </w:rPr>
        <w:t xml:space="preserve">Academic Year </w:t>
      </w:r>
      <w:r w:rsidRPr="002937D2">
        <w:rPr>
          <w:b/>
          <w:sz w:val="36"/>
          <w:szCs w:val="36"/>
          <w:u w:val="single"/>
        </w:rPr>
        <w:t>20</w:t>
      </w:r>
      <w:r w:rsidR="0039700A">
        <w:rPr>
          <w:b/>
          <w:sz w:val="36"/>
          <w:szCs w:val="36"/>
          <w:u w:val="single"/>
        </w:rPr>
        <w:t>18</w:t>
      </w:r>
      <w:r w:rsidRPr="002937D2">
        <w:rPr>
          <w:b/>
          <w:sz w:val="36"/>
          <w:szCs w:val="36"/>
          <w:u w:val="single"/>
        </w:rPr>
        <w:t>-20</w:t>
      </w:r>
      <w:r w:rsidR="0039700A">
        <w:rPr>
          <w:b/>
          <w:sz w:val="36"/>
          <w:szCs w:val="36"/>
          <w:u w:val="single"/>
        </w:rPr>
        <w:t>19</w:t>
      </w:r>
    </w:p>
    <w:p w:rsidR="00D65475" w:rsidRPr="002937D2" w:rsidRDefault="00D65475" w:rsidP="002937D2">
      <w:pPr>
        <w:jc w:val="center"/>
        <w:rPr>
          <w:b/>
          <w:sz w:val="36"/>
          <w:szCs w:val="36"/>
          <w:u w:val="single"/>
        </w:rPr>
      </w:pPr>
    </w:p>
    <w:tbl>
      <w:tblPr>
        <w:tblStyle w:val="TableGrid"/>
        <w:tblW w:w="11070" w:type="dxa"/>
        <w:tblInd w:w="-815" w:type="dxa"/>
        <w:tblLook w:val="04A0" w:firstRow="1" w:lastRow="0" w:firstColumn="1" w:lastColumn="0" w:noHBand="0" w:noVBand="1"/>
      </w:tblPr>
      <w:tblGrid>
        <w:gridCol w:w="1669"/>
        <w:gridCol w:w="3954"/>
        <w:gridCol w:w="2657"/>
        <w:gridCol w:w="2790"/>
      </w:tblGrid>
      <w:tr w:rsidR="00571565" w:rsidTr="00571565">
        <w:tc>
          <w:tcPr>
            <w:tcW w:w="1669" w:type="dxa"/>
          </w:tcPr>
          <w:p w:rsidR="00571565" w:rsidRPr="00571565" w:rsidRDefault="00571565" w:rsidP="002937D2">
            <w:pPr>
              <w:spacing w:line="276" w:lineRule="auto"/>
              <w:jc w:val="center"/>
              <w:rPr>
                <w:b/>
                <w:sz w:val="28"/>
                <w:szCs w:val="28"/>
              </w:rPr>
            </w:pPr>
            <w:r w:rsidRPr="00571565">
              <w:rPr>
                <w:b/>
                <w:sz w:val="28"/>
                <w:szCs w:val="28"/>
              </w:rPr>
              <w:t>Academic Year</w:t>
            </w:r>
          </w:p>
        </w:tc>
        <w:tc>
          <w:tcPr>
            <w:tcW w:w="3954" w:type="dxa"/>
          </w:tcPr>
          <w:p w:rsidR="00571565" w:rsidRPr="00571565" w:rsidRDefault="00571565" w:rsidP="002937D2">
            <w:pPr>
              <w:spacing w:line="276" w:lineRule="auto"/>
              <w:jc w:val="center"/>
              <w:rPr>
                <w:b/>
                <w:sz w:val="28"/>
                <w:szCs w:val="28"/>
              </w:rPr>
            </w:pPr>
            <w:r w:rsidRPr="00571565">
              <w:rPr>
                <w:b/>
                <w:sz w:val="28"/>
                <w:szCs w:val="28"/>
              </w:rPr>
              <w:t>Total Number of Program Completers</w:t>
            </w:r>
          </w:p>
        </w:tc>
        <w:tc>
          <w:tcPr>
            <w:tcW w:w="2657" w:type="dxa"/>
          </w:tcPr>
          <w:p w:rsidR="00571565" w:rsidRPr="00571565" w:rsidRDefault="00571565" w:rsidP="002937D2">
            <w:pPr>
              <w:spacing w:line="276" w:lineRule="auto"/>
              <w:jc w:val="center"/>
              <w:rPr>
                <w:b/>
                <w:sz w:val="28"/>
                <w:szCs w:val="28"/>
              </w:rPr>
            </w:pPr>
            <w:r w:rsidRPr="00571565">
              <w:rPr>
                <w:b/>
                <w:sz w:val="28"/>
                <w:szCs w:val="28"/>
              </w:rPr>
              <w:t>Licensed in NJ</w:t>
            </w:r>
          </w:p>
        </w:tc>
        <w:tc>
          <w:tcPr>
            <w:tcW w:w="2790" w:type="dxa"/>
          </w:tcPr>
          <w:p w:rsidR="00571565" w:rsidRPr="00571565" w:rsidRDefault="00571565" w:rsidP="002937D2">
            <w:pPr>
              <w:spacing w:line="276" w:lineRule="auto"/>
              <w:jc w:val="center"/>
              <w:rPr>
                <w:b/>
                <w:sz w:val="28"/>
                <w:szCs w:val="28"/>
              </w:rPr>
            </w:pPr>
            <w:r w:rsidRPr="00571565">
              <w:rPr>
                <w:b/>
                <w:sz w:val="28"/>
                <w:szCs w:val="28"/>
              </w:rPr>
              <w:t>Hired for Teaching Positions in NJ</w:t>
            </w:r>
          </w:p>
        </w:tc>
      </w:tr>
      <w:tr w:rsidR="00D65475" w:rsidTr="00571565">
        <w:tc>
          <w:tcPr>
            <w:tcW w:w="1669" w:type="dxa"/>
          </w:tcPr>
          <w:p w:rsidR="00D65475" w:rsidRPr="00D65475" w:rsidRDefault="00D65475" w:rsidP="00D65475">
            <w:pPr>
              <w:spacing w:line="276" w:lineRule="auto"/>
              <w:jc w:val="center"/>
              <w:rPr>
                <w:b/>
                <w:sz w:val="28"/>
                <w:szCs w:val="28"/>
              </w:rPr>
            </w:pPr>
            <w:r>
              <w:rPr>
                <w:b/>
                <w:sz w:val="28"/>
                <w:szCs w:val="28"/>
              </w:rPr>
              <w:t>2018-2019</w:t>
            </w:r>
          </w:p>
        </w:tc>
        <w:tc>
          <w:tcPr>
            <w:tcW w:w="3954" w:type="dxa"/>
          </w:tcPr>
          <w:p w:rsidR="00D65475" w:rsidRPr="00D65475" w:rsidRDefault="00DE00BB" w:rsidP="00D65475">
            <w:pPr>
              <w:spacing w:line="276" w:lineRule="auto"/>
              <w:jc w:val="center"/>
              <w:rPr>
                <w:b/>
                <w:sz w:val="28"/>
                <w:szCs w:val="28"/>
              </w:rPr>
            </w:pPr>
            <w:r>
              <w:rPr>
                <w:b/>
                <w:sz w:val="28"/>
                <w:szCs w:val="28"/>
              </w:rPr>
              <w:t>340</w:t>
            </w:r>
          </w:p>
        </w:tc>
        <w:tc>
          <w:tcPr>
            <w:tcW w:w="2657" w:type="dxa"/>
          </w:tcPr>
          <w:p w:rsidR="00D65475" w:rsidRPr="00D65475" w:rsidRDefault="007C5668" w:rsidP="00D65475">
            <w:pPr>
              <w:spacing w:line="276" w:lineRule="auto"/>
              <w:jc w:val="center"/>
              <w:rPr>
                <w:b/>
                <w:sz w:val="28"/>
                <w:szCs w:val="28"/>
              </w:rPr>
            </w:pPr>
            <w:r>
              <w:rPr>
                <w:b/>
                <w:sz w:val="28"/>
                <w:szCs w:val="28"/>
              </w:rPr>
              <w:t>340</w:t>
            </w:r>
          </w:p>
        </w:tc>
        <w:tc>
          <w:tcPr>
            <w:tcW w:w="2790" w:type="dxa"/>
          </w:tcPr>
          <w:p w:rsidR="00D65475" w:rsidRPr="00D65475" w:rsidRDefault="007C5668" w:rsidP="00D65475">
            <w:pPr>
              <w:spacing w:line="276" w:lineRule="auto"/>
              <w:jc w:val="center"/>
              <w:rPr>
                <w:b/>
                <w:sz w:val="28"/>
                <w:szCs w:val="28"/>
              </w:rPr>
            </w:pPr>
            <w:r>
              <w:rPr>
                <w:b/>
                <w:sz w:val="28"/>
                <w:szCs w:val="28"/>
              </w:rPr>
              <w:t>210</w:t>
            </w:r>
          </w:p>
        </w:tc>
      </w:tr>
      <w:tr w:rsidR="00D65475" w:rsidTr="00571565">
        <w:tc>
          <w:tcPr>
            <w:tcW w:w="1669" w:type="dxa"/>
          </w:tcPr>
          <w:p w:rsidR="00D65475" w:rsidRPr="00D65475" w:rsidRDefault="00D65475" w:rsidP="00D65475">
            <w:pPr>
              <w:spacing w:line="276" w:lineRule="auto"/>
              <w:jc w:val="center"/>
              <w:rPr>
                <w:b/>
                <w:sz w:val="28"/>
                <w:szCs w:val="28"/>
              </w:rPr>
            </w:pPr>
            <w:r w:rsidRPr="00D65475">
              <w:rPr>
                <w:b/>
                <w:sz w:val="28"/>
                <w:szCs w:val="28"/>
              </w:rPr>
              <w:t>2017-2018</w:t>
            </w:r>
          </w:p>
        </w:tc>
        <w:tc>
          <w:tcPr>
            <w:tcW w:w="3954" w:type="dxa"/>
          </w:tcPr>
          <w:p w:rsidR="00D65475" w:rsidRPr="00D65475" w:rsidRDefault="00D65475" w:rsidP="00D65475">
            <w:pPr>
              <w:spacing w:line="276" w:lineRule="auto"/>
              <w:jc w:val="center"/>
              <w:rPr>
                <w:b/>
                <w:sz w:val="28"/>
                <w:szCs w:val="28"/>
              </w:rPr>
            </w:pPr>
            <w:r>
              <w:rPr>
                <w:b/>
                <w:sz w:val="28"/>
                <w:szCs w:val="28"/>
              </w:rPr>
              <w:t>331</w:t>
            </w:r>
          </w:p>
        </w:tc>
        <w:tc>
          <w:tcPr>
            <w:tcW w:w="2657" w:type="dxa"/>
          </w:tcPr>
          <w:p w:rsidR="00D65475" w:rsidRPr="00D65475" w:rsidRDefault="00D65475" w:rsidP="00D65475">
            <w:pPr>
              <w:spacing w:line="276" w:lineRule="auto"/>
              <w:jc w:val="center"/>
              <w:rPr>
                <w:b/>
                <w:sz w:val="28"/>
                <w:szCs w:val="28"/>
              </w:rPr>
            </w:pPr>
            <w:r>
              <w:rPr>
                <w:b/>
                <w:sz w:val="28"/>
                <w:szCs w:val="28"/>
              </w:rPr>
              <w:t>331</w:t>
            </w:r>
          </w:p>
        </w:tc>
        <w:tc>
          <w:tcPr>
            <w:tcW w:w="2790" w:type="dxa"/>
          </w:tcPr>
          <w:p w:rsidR="00D65475" w:rsidRPr="00D65475" w:rsidRDefault="00D65475" w:rsidP="00D65475">
            <w:pPr>
              <w:spacing w:line="276" w:lineRule="auto"/>
              <w:jc w:val="center"/>
              <w:rPr>
                <w:b/>
                <w:sz w:val="28"/>
                <w:szCs w:val="28"/>
              </w:rPr>
            </w:pPr>
            <w:r>
              <w:rPr>
                <w:b/>
                <w:sz w:val="28"/>
                <w:szCs w:val="28"/>
              </w:rPr>
              <w:t>184</w:t>
            </w:r>
          </w:p>
        </w:tc>
      </w:tr>
      <w:tr w:rsidR="00571565" w:rsidTr="00571565">
        <w:tc>
          <w:tcPr>
            <w:tcW w:w="1669" w:type="dxa"/>
          </w:tcPr>
          <w:p w:rsidR="00571565" w:rsidRPr="00D65475" w:rsidRDefault="00571565" w:rsidP="002937D2">
            <w:pPr>
              <w:spacing w:line="276" w:lineRule="auto"/>
              <w:jc w:val="center"/>
              <w:rPr>
                <w:b/>
                <w:sz w:val="28"/>
                <w:szCs w:val="28"/>
              </w:rPr>
            </w:pPr>
            <w:r w:rsidRPr="00D65475">
              <w:rPr>
                <w:b/>
                <w:sz w:val="28"/>
                <w:szCs w:val="28"/>
              </w:rPr>
              <w:t>2016-2017</w:t>
            </w:r>
          </w:p>
        </w:tc>
        <w:tc>
          <w:tcPr>
            <w:tcW w:w="3954" w:type="dxa"/>
          </w:tcPr>
          <w:p w:rsidR="00571565" w:rsidRPr="00D65475" w:rsidRDefault="00D65475" w:rsidP="002937D2">
            <w:pPr>
              <w:spacing w:line="276" w:lineRule="auto"/>
              <w:jc w:val="center"/>
              <w:rPr>
                <w:b/>
                <w:sz w:val="28"/>
                <w:szCs w:val="28"/>
              </w:rPr>
            </w:pPr>
            <w:r>
              <w:rPr>
                <w:b/>
                <w:sz w:val="28"/>
                <w:szCs w:val="28"/>
              </w:rPr>
              <w:t>315</w:t>
            </w:r>
          </w:p>
        </w:tc>
        <w:tc>
          <w:tcPr>
            <w:tcW w:w="2657" w:type="dxa"/>
          </w:tcPr>
          <w:p w:rsidR="00571565" w:rsidRPr="00D65475" w:rsidRDefault="00D65475" w:rsidP="002937D2">
            <w:pPr>
              <w:spacing w:line="276" w:lineRule="auto"/>
              <w:jc w:val="center"/>
              <w:rPr>
                <w:b/>
                <w:sz w:val="28"/>
                <w:szCs w:val="28"/>
              </w:rPr>
            </w:pPr>
            <w:r>
              <w:rPr>
                <w:b/>
                <w:sz w:val="28"/>
                <w:szCs w:val="28"/>
              </w:rPr>
              <w:t>315</w:t>
            </w:r>
          </w:p>
        </w:tc>
        <w:tc>
          <w:tcPr>
            <w:tcW w:w="2790" w:type="dxa"/>
          </w:tcPr>
          <w:p w:rsidR="00571565" w:rsidRPr="00D65475" w:rsidRDefault="00D65475" w:rsidP="002937D2">
            <w:pPr>
              <w:spacing w:line="276" w:lineRule="auto"/>
              <w:jc w:val="center"/>
              <w:rPr>
                <w:b/>
                <w:sz w:val="28"/>
                <w:szCs w:val="28"/>
              </w:rPr>
            </w:pPr>
            <w:r>
              <w:rPr>
                <w:b/>
                <w:sz w:val="28"/>
                <w:szCs w:val="28"/>
              </w:rPr>
              <w:t>141</w:t>
            </w:r>
          </w:p>
        </w:tc>
      </w:tr>
    </w:tbl>
    <w:p w:rsidR="00571565" w:rsidRPr="00571565" w:rsidRDefault="00571565" w:rsidP="002937D2">
      <w:pPr>
        <w:spacing w:line="276" w:lineRule="auto"/>
        <w:jc w:val="center"/>
        <w:rPr>
          <w:b/>
          <w:sz w:val="36"/>
          <w:szCs w:val="36"/>
        </w:rPr>
      </w:pPr>
    </w:p>
    <w:p w:rsidR="002937D2" w:rsidRPr="00571565" w:rsidRDefault="002937D2" w:rsidP="002937D2">
      <w:pPr>
        <w:spacing w:line="276" w:lineRule="auto"/>
        <w:rPr>
          <w:b/>
          <w:sz w:val="36"/>
          <w:szCs w:val="36"/>
          <w:u w:val="single"/>
        </w:rPr>
      </w:pPr>
      <w:r w:rsidRPr="00571565">
        <w:rPr>
          <w:b/>
          <w:sz w:val="36"/>
          <w:szCs w:val="36"/>
          <w:u w:val="single"/>
        </w:rPr>
        <w:t>Persistence Trend</w:t>
      </w:r>
    </w:p>
    <w:tbl>
      <w:tblPr>
        <w:tblStyle w:val="TableGrid"/>
        <w:tblW w:w="11070" w:type="dxa"/>
        <w:tblInd w:w="-815" w:type="dxa"/>
        <w:tblLook w:val="04A0" w:firstRow="1" w:lastRow="0" w:firstColumn="1" w:lastColumn="0" w:noHBand="0" w:noVBand="1"/>
      </w:tblPr>
      <w:tblGrid>
        <w:gridCol w:w="3690"/>
        <w:gridCol w:w="90"/>
        <w:gridCol w:w="3268"/>
        <w:gridCol w:w="332"/>
        <w:gridCol w:w="3690"/>
      </w:tblGrid>
      <w:tr w:rsidR="0039700A" w:rsidTr="00563746">
        <w:tc>
          <w:tcPr>
            <w:tcW w:w="11070" w:type="dxa"/>
            <w:gridSpan w:val="5"/>
          </w:tcPr>
          <w:p w:rsidR="0039700A" w:rsidRPr="00563746" w:rsidRDefault="0039700A" w:rsidP="0039700A">
            <w:pPr>
              <w:spacing w:line="276" w:lineRule="auto"/>
              <w:rPr>
                <w:b/>
                <w:sz w:val="32"/>
                <w:szCs w:val="32"/>
              </w:rPr>
            </w:pPr>
            <w:r w:rsidRPr="00563746">
              <w:rPr>
                <w:b/>
                <w:sz w:val="32"/>
                <w:szCs w:val="32"/>
              </w:rPr>
              <w:t>201</w:t>
            </w:r>
            <w:r>
              <w:rPr>
                <w:b/>
                <w:sz w:val="32"/>
                <w:szCs w:val="32"/>
              </w:rPr>
              <w:t>8</w:t>
            </w:r>
            <w:r w:rsidRPr="00563746">
              <w:rPr>
                <w:b/>
                <w:sz w:val="32"/>
                <w:szCs w:val="32"/>
              </w:rPr>
              <w:t>-201</w:t>
            </w:r>
            <w:r>
              <w:rPr>
                <w:b/>
                <w:sz w:val="32"/>
                <w:szCs w:val="32"/>
              </w:rPr>
              <w:t>9</w:t>
            </w:r>
            <w:r>
              <w:rPr>
                <w:b/>
                <w:sz w:val="32"/>
                <w:szCs w:val="32"/>
              </w:rPr>
              <w:t xml:space="preserve">     </w:t>
            </w:r>
            <w:r w:rsidR="007C5668">
              <w:rPr>
                <w:b/>
                <w:sz w:val="32"/>
                <w:szCs w:val="32"/>
              </w:rPr>
              <w:t xml:space="preserve">340 </w:t>
            </w:r>
            <w:r>
              <w:rPr>
                <w:b/>
                <w:sz w:val="32"/>
                <w:szCs w:val="32"/>
              </w:rPr>
              <w:t xml:space="preserve">completers and </w:t>
            </w:r>
            <w:r w:rsidR="007C5668">
              <w:rPr>
                <w:b/>
                <w:sz w:val="32"/>
                <w:szCs w:val="32"/>
              </w:rPr>
              <w:t xml:space="preserve">210 </w:t>
            </w:r>
            <w:r>
              <w:rPr>
                <w:b/>
                <w:sz w:val="32"/>
                <w:szCs w:val="32"/>
              </w:rPr>
              <w:t xml:space="preserve">employed in </w:t>
            </w:r>
            <w:r w:rsidR="007C5668" w:rsidRPr="0039700A">
              <w:rPr>
                <w:b/>
                <w:sz w:val="32"/>
                <w:szCs w:val="32"/>
              </w:rPr>
              <w:t>New Jersey</w:t>
            </w:r>
          </w:p>
        </w:tc>
      </w:tr>
      <w:tr w:rsidR="0039700A" w:rsidTr="00E0018E">
        <w:tc>
          <w:tcPr>
            <w:tcW w:w="3690" w:type="dxa"/>
          </w:tcPr>
          <w:p w:rsidR="0039700A" w:rsidRPr="007C5668" w:rsidRDefault="0039700A" w:rsidP="0039700A">
            <w:pPr>
              <w:spacing w:line="276" w:lineRule="auto"/>
              <w:rPr>
                <w:sz w:val="24"/>
                <w:szCs w:val="24"/>
              </w:rPr>
            </w:pPr>
            <w:r w:rsidRPr="007C5668">
              <w:rPr>
                <w:sz w:val="24"/>
                <w:szCs w:val="24"/>
              </w:rPr>
              <w:t>School Level Retention:</w:t>
            </w:r>
          </w:p>
          <w:p w:rsidR="0039700A" w:rsidRPr="007C5668" w:rsidRDefault="007C5668" w:rsidP="0039700A">
            <w:pPr>
              <w:spacing w:line="276" w:lineRule="auto"/>
              <w:rPr>
                <w:sz w:val="24"/>
                <w:szCs w:val="24"/>
              </w:rPr>
            </w:pPr>
            <w:r w:rsidRPr="007C5668">
              <w:rPr>
                <w:sz w:val="24"/>
                <w:szCs w:val="24"/>
              </w:rPr>
              <w:t xml:space="preserve">106 </w:t>
            </w:r>
            <w:r w:rsidR="0039700A" w:rsidRPr="007C5668">
              <w:rPr>
                <w:sz w:val="24"/>
                <w:szCs w:val="24"/>
              </w:rPr>
              <w:t>[</w:t>
            </w:r>
            <w:r w:rsidRPr="007C5668">
              <w:rPr>
                <w:sz w:val="24"/>
                <w:szCs w:val="24"/>
              </w:rPr>
              <w:t>50.5</w:t>
            </w:r>
            <w:r w:rsidR="0039700A" w:rsidRPr="007C5668">
              <w:rPr>
                <w:sz w:val="24"/>
                <w:szCs w:val="24"/>
              </w:rPr>
              <w:t>%] in school year 18-19</w:t>
            </w:r>
          </w:p>
        </w:tc>
        <w:tc>
          <w:tcPr>
            <w:tcW w:w="3690" w:type="dxa"/>
            <w:gridSpan w:val="3"/>
          </w:tcPr>
          <w:p w:rsidR="0039700A" w:rsidRPr="007C5668" w:rsidRDefault="007C5668" w:rsidP="0039700A">
            <w:pPr>
              <w:spacing w:line="276" w:lineRule="auto"/>
              <w:rPr>
                <w:sz w:val="24"/>
                <w:szCs w:val="24"/>
              </w:rPr>
            </w:pPr>
            <w:r w:rsidRPr="007C5668">
              <w:rPr>
                <w:sz w:val="24"/>
                <w:szCs w:val="24"/>
              </w:rPr>
              <w:t>District</w:t>
            </w:r>
            <w:r w:rsidR="0039700A" w:rsidRPr="007C5668">
              <w:rPr>
                <w:sz w:val="24"/>
                <w:szCs w:val="24"/>
              </w:rPr>
              <w:t xml:space="preserve"> Level Retention:</w:t>
            </w:r>
          </w:p>
          <w:p w:rsidR="0039700A" w:rsidRPr="007C5668" w:rsidRDefault="007C5668" w:rsidP="0039700A">
            <w:pPr>
              <w:spacing w:line="276" w:lineRule="auto"/>
              <w:rPr>
                <w:sz w:val="24"/>
                <w:szCs w:val="24"/>
              </w:rPr>
            </w:pPr>
            <w:r w:rsidRPr="007C5668">
              <w:rPr>
                <w:sz w:val="24"/>
                <w:szCs w:val="24"/>
              </w:rPr>
              <w:t xml:space="preserve">115 </w:t>
            </w:r>
            <w:r w:rsidR="0039700A" w:rsidRPr="007C5668">
              <w:rPr>
                <w:sz w:val="24"/>
                <w:szCs w:val="24"/>
              </w:rPr>
              <w:t>[</w:t>
            </w:r>
            <w:r w:rsidRPr="007C5668">
              <w:rPr>
                <w:sz w:val="24"/>
                <w:szCs w:val="24"/>
              </w:rPr>
              <w:t>54.8</w:t>
            </w:r>
            <w:r w:rsidR="0039700A" w:rsidRPr="007C5668">
              <w:rPr>
                <w:sz w:val="24"/>
                <w:szCs w:val="24"/>
              </w:rPr>
              <w:t>%] in school year 18-19</w:t>
            </w:r>
          </w:p>
        </w:tc>
        <w:tc>
          <w:tcPr>
            <w:tcW w:w="3690" w:type="dxa"/>
          </w:tcPr>
          <w:p w:rsidR="0039700A" w:rsidRPr="007C5668" w:rsidRDefault="007C5668" w:rsidP="0039700A">
            <w:pPr>
              <w:spacing w:line="276" w:lineRule="auto"/>
              <w:rPr>
                <w:sz w:val="24"/>
                <w:szCs w:val="24"/>
              </w:rPr>
            </w:pPr>
            <w:r w:rsidRPr="007C5668">
              <w:rPr>
                <w:sz w:val="24"/>
                <w:szCs w:val="24"/>
              </w:rPr>
              <w:t>State</w:t>
            </w:r>
            <w:r w:rsidR="0039700A" w:rsidRPr="007C5668">
              <w:rPr>
                <w:sz w:val="24"/>
                <w:szCs w:val="24"/>
              </w:rPr>
              <w:t xml:space="preserve"> Level Retention:</w:t>
            </w:r>
          </w:p>
          <w:p w:rsidR="0039700A" w:rsidRPr="007C5668" w:rsidRDefault="0039700A" w:rsidP="0039700A">
            <w:pPr>
              <w:spacing w:line="276" w:lineRule="auto"/>
              <w:rPr>
                <w:sz w:val="24"/>
                <w:szCs w:val="24"/>
              </w:rPr>
            </w:pPr>
            <w:r w:rsidRPr="007C5668">
              <w:rPr>
                <w:sz w:val="24"/>
                <w:szCs w:val="24"/>
              </w:rPr>
              <w:t xml:space="preserve"> </w:t>
            </w:r>
            <w:r w:rsidR="007C5668" w:rsidRPr="007C5668">
              <w:rPr>
                <w:sz w:val="24"/>
                <w:szCs w:val="24"/>
              </w:rPr>
              <w:t xml:space="preserve">136 </w:t>
            </w:r>
            <w:r w:rsidRPr="007C5668">
              <w:rPr>
                <w:sz w:val="24"/>
                <w:szCs w:val="24"/>
              </w:rPr>
              <w:t>[</w:t>
            </w:r>
            <w:r w:rsidR="007C5668" w:rsidRPr="007C5668">
              <w:rPr>
                <w:sz w:val="24"/>
                <w:szCs w:val="24"/>
              </w:rPr>
              <w:t>64.8</w:t>
            </w:r>
            <w:r w:rsidRPr="007C5668">
              <w:rPr>
                <w:sz w:val="24"/>
                <w:szCs w:val="24"/>
              </w:rPr>
              <w:t>%] in school year 18-19</w:t>
            </w:r>
          </w:p>
        </w:tc>
      </w:tr>
      <w:tr w:rsidR="00563746" w:rsidTr="00563746">
        <w:tc>
          <w:tcPr>
            <w:tcW w:w="11070" w:type="dxa"/>
            <w:gridSpan w:val="5"/>
          </w:tcPr>
          <w:p w:rsidR="00563746" w:rsidRPr="00563746" w:rsidRDefault="00563746" w:rsidP="002937D2">
            <w:pPr>
              <w:spacing w:line="276" w:lineRule="auto"/>
              <w:rPr>
                <w:b/>
                <w:sz w:val="32"/>
                <w:szCs w:val="32"/>
              </w:rPr>
            </w:pPr>
            <w:r w:rsidRPr="00563746">
              <w:rPr>
                <w:b/>
                <w:sz w:val="32"/>
                <w:szCs w:val="32"/>
              </w:rPr>
              <w:t>2017-2018</w:t>
            </w:r>
            <w:r>
              <w:rPr>
                <w:b/>
                <w:sz w:val="32"/>
                <w:szCs w:val="32"/>
              </w:rPr>
              <w:t xml:space="preserve">    331</w:t>
            </w:r>
            <w:r w:rsidR="0039700A">
              <w:rPr>
                <w:b/>
                <w:sz w:val="32"/>
                <w:szCs w:val="32"/>
              </w:rPr>
              <w:t xml:space="preserve"> </w:t>
            </w:r>
            <w:r>
              <w:rPr>
                <w:b/>
                <w:sz w:val="32"/>
                <w:szCs w:val="32"/>
              </w:rPr>
              <w:t xml:space="preserve">completers and </w:t>
            </w:r>
            <w:r w:rsidR="0039700A">
              <w:rPr>
                <w:b/>
                <w:sz w:val="32"/>
                <w:szCs w:val="32"/>
              </w:rPr>
              <w:t xml:space="preserve">184 </w:t>
            </w:r>
            <w:r>
              <w:rPr>
                <w:b/>
                <w:sz w:val="32"/>
                <w:szCs w:val="32"/>
              </w:rPr>
              <w:t xml:space="preserve">employed in </w:t>
            </w:r>
            <w:r w:rsidR="007C5668" w:rsidRPr="0039700A">
              <w:rPr>
                <w:b/>
                <w:sz w:val="32"/>
                <w:szCs w:val="32"/>
              </w:rPr>
              <w:t>New Jersey</w:t>
            </w:r>
          </w:p>
        </w:tc>
      </w:tr>
      <w:tr w:rsidR="002937D2" w:rsidTr="0039700A">
        <w:tc>
          <w:tcPr>
            <w:tcW w:w="3780" w:type="dxa"/>
            <w:gridSpan w:val="2"/>
          </w:tcPr>
          <w:p w:rsidR="002937D2" w:rsidRPr="007C5668" w:rsidRDefault="00563746" w:rsidP="002937D2">
            <w:pPr>
              <w:spacing w:line="276" w:lineRule="auto"/>
              <w:rPr>
                <w:sz w:val="24"/>
                <w:szCs w:val="24"/>
              </w:rPr>
            </w:pPr>
            <w:r w:rsidRPr="007C5668">
              <w:rPr>
                <w:sz w:val="24"/>
                <w:szCs w:val="24"/>
              </w:rPr>
              <w:t>School Level Retention:</w:t>
            </w:r>
          </w:p>
          <w:p w:rsidR="00563746" w:rsidRPr="007C5668" w:rsidRDefault="0039700A" w:rsidP="002937D2">
            <w:pPr>
              <w:spacing w:line="276" w:lineRule="auto"/>
              <w:rPr>
                <w:sz w:val="24"/>
                <w:szCs w:val="24"/>
              </w:rPr>
            </w:pPr>
            <w:r w:rsidRPr="007C5668">
              <w:rPr>
                <w:sz w:val="24"/>
                <w:szCs w:val="24"/>
              </w:rPr>
              <w:t>112 [61%] in school year 18-19</w:t>
            </w:r>
          </w:p>
        </w:tc>
        <w:tc>
          <w:tcPr>
            <w:tcW w:w="3268" w:type="dxa"/>
          </w:tcPr>
          <w:p w:rsidR="002937D2" w:rsidRPr="007C5668" w:rsidRDefault="00563746" w:rsidP="002937D2">
            <w:pPr>
              <w:spacing w:line="276" w:lineRule="auto"/>
              <w:rPr>
                <w:sz w:val="24"/>
                <w:szCs w:val="24"/>
              </w:rPr>
            </w:pPr>
            <w:r w:rsidRPr="007C5668">
              <w:rPr>
                <w:sz w:val="24"/>
                <w:szCs w:val="24"/>
              </w:rPr>
              <w:t>District Level Retention</w:t>
            </w:r>
            <w:r w:rsidR="0039700A" w:rsidRPr="007C5668">
              <w:rPr>
                <w:sz w:val="24"/>
                <w:szCs w:val="24"/>
              </w:rPr>
              <w:t>:</w:t>
            </w:r>
          </w:p>
          <w:p w:rsidR="0039700A" w:rsidRPr="007C5668" w:rsidRDefault="0039700A" w:rsidP="002937D2">
            <w:pPr>
              <w:spacing w:line="276" w:lineRule="auto"/>
              <w:rPr>
                <w:sz w:val="24"/>
                <w:szCs w:val="24"/>
              </w:rPr>
            </w:pPr>
            <w:r w:rsidRPr="007C5668">
              <w:rPr>
                <w:sz w:val="24"/>
                <w:szCs w:val="24"/>
              </w:rPr>
              <w:t>117 [64%] in school year 18-19</w:t>
            </w:r>
          </w:p>
        </w:tc>
        <w:tc>
          <w:tcPr>
            <w:tcW w:w="4022" w:type="dxa"/>
            <w:gridSpan w:val="2"/>
          </w:tcPr>
          <w:p w:rsidR="002937D2" w:rsidRPr="007C5668" w:rsidRDefault="00563746" w:rsidP="002937D2">
            <w:pPr>
              <w:spacing w:line="276" w:lineRule="auto"/>
              <w:rPr>
                <w:sz w:val="24"/>
                <w:szCs w:val="24"/>
              </w:rPr>
            </w:pPr>
            <w:r w:rsidRPr="007C5668">
              <w:rPr>
                <w:sz w:val="24"/>
                <w:szCs w:val="24"/>
              </w:rPr>
              <w:t>State Level Retention:</w:t>
            </w:r>
          </w:p>
          <w:p w:rsidR="0039700A" w:rsidRPr="007C5668" w:rsidRDefault="0039700A" w:rsidP="002937D2">
            <w:pPr>
              <w:spacing w:line="276" w:lineRule="auto"/>
              <w:rPr>
                <w:sz w:val="24"/>
                <w:szCs w:val="24"/>
              </w:rPr>
            </w:pPr>
            <w:r w:rsidRPr="007C5668">
              <w:rPr>
                <w:sz w:val="24"/>
                <w:szCs w:val="24"/>
              </w:rPr>
              <w:t>133 [72%] in school year 18-19</w:t>
            </w:r>
          </w:p>
        </w:tc>
      </w:tr>
      <w:tr w:rsidR="00563746" w:rsidTr="000844C7">
        <w:tc>
          <w:tcPr>
            <w:tcW w:w="11070" w:type="dxa"/>
            <w:gridSpan w:val="5"/>
          </w:tcPr>
          <w:p w:rsidR="00563746" w:rsidRPr="00563746" w:rsidRDefault="00563746" w:rsidP="002937D2">
            <w:pPr>
              <w:spacing w:line="276" w:lineRule="auto"/>
              <w:rPr>
                <w:b/>
                <w:sz w:val="24"/>
                <w:szCs w:val="24"/>
              </w:rPr>
            </w:pPr>
            <w:r w:rsidRPr="0039700A">
              <w:rPr>
                <w:b/>
                <w:sz w:val="32"/>
                <w:szCs w:val="32"/>
              </w:rPr>
              <w:t>2015-2016    315 completers and 141 employed in New Jersey</w:t>
            </w:r>
          </w:p>
        </w:tc>
      </w:tr>
      <w:tr w:rsidR="0039700A" w:rsidTr="0039700A">
        <w:tc>
          <w:tcPr>
            <w:tcW w:w="3780" w:type="dxa"/>
            <w:gridSpan w:val="2"/>
          </w:tcPr>
          <w:p w:rsidR="0039700A" w:rsidRPr="007C5668" w:rsidRDefault="0039700A" w:rsidP="0039700A">
            <w:pPr>
              <w:spacing w:line="276" w:lineRule="auto"/>
              <w:rPr>
                <w:sz w:val="24"/>
                <w:szCs w:val="24"/>
              </w:rPr>
            </w:pPr>
            <w:r w:rsidRPr="007C5668">
              <w:rPr>
                <w:sz w:val="24"/>
                <w:szCs w:val="24"/>
              </w:rPr>
              <w:t>School Level Retention:</w:t>
            </w:r>
          </w:p>
          <w:p w:rsidR="0039700A" w:rsidRPr="007C5668" w:rsidRDefault="0039700A" w:rsidP="0039700A">
            <w:pPr>
              <w:spacing w:line="276" w:lineRule="auto"/>
              <w:rPr>
                <w:sz w:val="24"/>
                <w:szCs w:val="24"/>
              </w:rPr>
            </w:pPr>
            <w:r w:rsidRPr="007C5668">
              <w:rPr>
                <w:sz w:val="24"/>
                <w:szCs w:val="24"/>
              </w:rPr>
              <w:t>97</w:t>
            </w:r>
            <w:r w:rsidRPr="007C5668">
              <w:rPr>
                <w:sz w:val="24"/>
                <w:szCs w:val="24"/>
              </w:rPr>
              <w:t xml:space="preserve"> [6</w:t>
            </w:r>
            <w:r w:rsidRPr="007C5668">
              <w:rPr>
                <w:sz w:val="24"/>
                <w:szCs w:val="24"/>
              </w:rPr>
              <w:t>9</w:t>
            </w:r>
            <w:r w:rsidRPr="007C5668">
              <w:rPr>
                <w:sz w:val="24"/>
                <w:szCs w:val="24"/>
              </w:rPr>
              <w:t xml:space="preserve">%] in school year </w:t>
            </w:r>
            <w:r w:rsidRPr="007C5668">
              <w:rPr>
                <w:sz w:val="24"/>
                <w:szCs w:val="24"/>
              </w:rPr>
              <w:t>17-18</w:t>
            </w:r>
          </w:p>
        </w:tc>
        <w:tc>
          <w:tcPr>
            <w:tcW w:w="3268" w:type="dxa"/>
          </w:tcPr>
          <w:p w:rsidR="0039700A" w:rsidRPr="007C5668" w:rsidRDefault="0039700A" w:rsidP="0039700A">
            <w:pPr>
              <w:spacing w:line="276" w:lineRule="auto"/>
              <w:rPr>
                <w:sz w:val="24"/>
                <w:szCs w:val="24"/>
              </w:rPr>
            </w:pPr>
            <w:r w:rsidRPr="007C5668">
              <w:rPr>
                <w:sz w:val="24"/>
                <w:szCs w:val="24"/>
              </w:rPr>
              <w:t>District Level Retention:</w:t>
            </w:r>
          </w:p>
          <w:p w:rsidR="0039700A" w:rsidRPr="007C5668" w:rsidRDefault="0039700A" w:rsidP="0039700A">
            <w:pPr>
              <w:spacing w:line="276" w:lineRule="auto"/>
              <w:rPr>
                <w:sz w:val="24"/>
                <w:szCs w:val="24"/>
              </w:rPr>
            </w:pPr>
            <w:r w:rsidRPr="007C5668">
              <w:rPr>
                <w:sz w:val="24"/>
                <w:szCs w:val="24"/>
              </w:rPr>
              <w:t>1</w:t>
            </w:r>
            <w:r w:rsidRPr="007C5668">
              <w:rPr>
                <w:sz w:val="24"/>
                <w:szCs w:val="24"/>
              </w:rPr>
              <w:t>02</w:t>
            </w:r>
            <w:r w:rsidRPr="007C5668">
              <w:rPr>
                <w:sz w:val="24"/>
                <w:szCs w:val="24"/>
              </w:rPr>
              <w:t xml:space="preserve"> [</w:t>
            </w:r>
            <w:r w:rsidRPr="007C5668">
              <w:rPr>
                <w:sz w:val="24"/>
                <w:szCs w:val="24"/>
              </w:rPr>
              <w:t>72</w:t>
            </w:r>
            <w:r w:rsidRPr="007C5668">
              <w:rPr>
                <w:sz w:val="24"/>
                <w:szCs w:val="24"/>
              </w:rPr>
              <w:t xml:space="preserve">%] in school year </w:t>
            </w:r>
            <w:r w:rsidRPr="007C5668">
              <w:rPr>
                <w:sz w:val="24"/>
                <w:szCs w:val="24"/>
              </w:rPr>
              <w:t>17-18</w:t>
            </w:r>
          </w:p>
        </w:tc>
        <w:tc>
          <w:tcPr>
            <w:tcW w:w="4022" w:type="dxa"/>
            <w:gridSpan w:val="2"/>
          </w:tcPr>
          <w:p w:rsidR="0039700A" w:rsidRPr="007C5668" w:rsidRDefault="0039700A" w:rsidP="0039700A">
            <w:pPr>
              <w:spacing w:line="276" w:lineRule="auto"/>
              <w:rPr>
                <w:sz w:val="24"/>
                <w:szCs w:val="24"/>
              </w:rPr>
            </w:pPr>
            <w:r w:rsidRPr="007C5668">
              <w:rPr>
                <w:sz w:val="24"/>
                <w:szCs w:val="24"/>
              </w:rPr>
              <w:t>State Level Retention:</w:t>
            </w:r>
          </w:p>
          <w:p w:rsidR="0039700A" w:rsidRPr="007C5668" w:rsidRDefault="0039700A" w:rsidP="0039700A">
            <w:pPr>
              <w:spacing w:line="276" w:lineRule="auto"/>
              <w:rPr>
                <w:sz w:val="24"/>
                <w:szCs w:val="24"/>
              </w:rPr>
            </w:pPr>
            <w:r w:rsidRPr="007C5668">
              <w:rPr>
                <w:sz w:val="24"/>
                <w:szCs w:val="24"/>
              </w:rPr>
              <w:t>1</w:t>
            </w:r>
            <w:r w:rsidRPr="007C5668">
              <w:rPr>
                <w:sz w:val="24"/>
                <w:szCs w:val="24"/>
              </w:rPr>
              <w:t>23</w:t>
            </w:r>
            <w:r w:rsidRPr="007C5668">
              <w:rPr>
                <w:sz w:val="24"/>
                <w:szCs w:val="24"/>
              </w:rPr>
              <w:t xml:space="preserve"> [</w:t>
            </w:r>
            <w:r w:rsidRPr="007C5668">
              <w:rPr>
                <w:sz w:val="24"/>
                <w:szCs w:val="24"/>
              </w:rPr>
              <w:t>87</w:t>
            </w:r>
            <w:r w:rsidRPr="007C5668">
              <w:rPr>
                <w:sz w:val="24"/>
                <w:szCs w:val="24"/>
              </w:rPr>
              <w:t xml:space="preserve">%] in school year </w:t>
            </w:r>
            <w:r w:rsidRPr="007C5668">
              <w:rPr>
                <w:sz w:val="24"/>
                <w:szCs w:val="24"/>
              </w:rPr>
              <w:t>17-18</w:t>
            </w:r>
          </w:p>
        </w:tc>
      </w:tr>
    </w:tbl>
    <w:p w:rsidR="002937D2" w:rsidRDefault="002937D2" w:rsidP="002937D2">
      <w:pPr>
        <w:spacing w:line="276" w:lineRule="auto"/>
        <w:rPr>
          <w:b/>
          <w:sz w:val="32"/>
          <w:szCs w:val="32"/>
          <w:u w:val="single"/>
        </w:rPr>
      </w:pPr>
    </w:p>
    <w:p w:rsidR="00571565" w:rsidRDefault="00571565" w:rsidP="002937D2">
      <w:pPr>
        <w:spacing w:line="276" w:lineRule="auto"/>
        <w:rPr>
          <w:b/>
          <w:sz w:val="32"/>
          <w:szCs w:val="32"/>
          <w:u w:val="single"/>
        </w:rPr>
      </w:pPr>
    </w:p>
    <w:p w:rsidR="00571565" w:rsidRDefault="00571565" w:rsidP="002937D2">
      <w:pPr>
        <w:spacing w:line="276" w:lineRule="auto"/>
        <w:rPr>
          <w:b/>
          <w:sz w:val="32"/>
          <w:szCs w:val="32"/>
          <w:u w:val="single"/>
        </w:rPr>
      </w:pPr>
    </w:p>
    <w:p w:rsidR="00571565" w:rsidRPr="00571565" w:rsidRDefault="00571565" w:rsidP="002937D2">
      <w:pPr>
        <w:spacing w:line="276" w:lineRule="auto"/>
        <w:rPr>
          <w:b/>
          <w:sz w:val="36"/>
          <w:szCs w:val="36"/>
          <w:u w:val="single"/>
        </w:rPr>
      </w:pPr>
      <w:r w:rsidRPr="00571565">
        <w:rPr>
          <w:b/>
          <w:sz w:val="36"/>
          <w:szCs w:val="36"/>
          <w:u w:val="single"/>
        </w:rPr>
        <w:t>Employment by School Types</w:t>
      </w:r>
      <w:r w:rsidR="007C5668">
        <w:rPr>
          <w:b/>
          <w:sz w:val="36"/>
          <w:szCs w:val="36"/>
          <w:u w:val="single"/>
        </w:rPr>
        <w:t xml:space="preserve"> 2018-2019</w:t>
      </w:r>
      <w:bookmarkStart w:id="0" w:name="_GoBack"/>
      <w:bookmarkEnd w:id="0"/>
    </w:p>
    <w:tbl>
      <w:tblPr>
        <w:tblStyle w:val="TableGrid"/>
        <w:tblW w:w="10710" w:type="dxa"/>
        <w:tblInd w:w="-275" w:type="dxa"/>
        <w:tblLook w:val="04A0" w:firstRow="1" w:lastRow="0" w:firstColumn="1" w:lastColumn="0" w:noHBand="0" w:noVBand="1"/>
      </w:tblPr>
      <w:tblGrid>
        <w:gridCol w:w="3391"/>
        <w:gridCol w:w="3719"/>
        <w:gridCol w:w="3600"/>
      </w:tblGrid>
      <w:tr w:rsidR="00571565" w:rsidTr="00571565">
        <w:tc>
          <w:tcPr>
            <w:tcW w:w="3391" w:type="dxa"/>
          </w:tcPr>
          <w:p w:rsidR="00571565" w:rsidRPr="00571565" w:rsidRDefault="00571565" w:rsidP="00571565">
            <w:pPr>
              <w:spacing w:line="276" w:lineRule="auto"/>
              <w:jc w:val="center"/>
              <w:rPr>
                <w:b/>
                <w:sz w:val="32"/>
                <w:szCs w:val="32"/>
              </w:rPr>
            </w:pPr>
            <w:r>
              <w:rPr>
                <w:b/>
                <w:sz w:val="32"/>
                <w:szCs w:val="32"/>
              </w:rPr>
              <w:t>School Type</w:t>
            </w:r>
          </w:p>
        </w:tc>
        <w:tc>
          <w:tcPr>
            <w:tcW w:w="3719" w:type="dxa"/>
          </w:tcPr>
          <w:p w:rsidR="00571565" w:rsidRPr="00571565" w:rsidRDefault="00571565" w:rsidP="00571565">
            <w:pPr>
              <w:spacing w:line="276" w:lineRule="auto"/>
              <w:jc w:val="center"/>
              <w:rPr>
                <w:b/>
                <w:sz w:val="32"/>
                <w:szCs w:val="32"/>
              </w:rPr>
            </w:pPr>
            <w:r>
              <w:rPr>
                <w:b/>
                <w:sz w:val="32"/>
                <w:szCs w:val="32"/>
              </w:rPr>
              <w:t>Rowan University Completers</w:t>
            </w:r>
          </w:p>
        </w:tc>
        <w:tc>
          <w:tcPr>
            <w:tcW w:w="3600" w:type="dxa"/>
          </w:tcPr>
          <w:p w:rsidR="00571565" w:rsidRPr="00571565" w:rsidRDefault="00571565" w:rsidP="00571565">
            <w:pPr>
              <w:spacing w:line="276" w:lineRule="auto"/>
              <w:jc w:val="center"/>
              <w:rPr>
                <w:b/>
                <w:sz w:val="32"/>
                <w:szCs w:val="32"/>
              </w:rPr>
            </w:pPr>
            <w:r>
              <w:rPr>
                <w:b/>
                <w:sz w:val="32"/>
                <w:szCs w:val="32"/>
              </w:rPr>
              <w:t>Statewide Educators</w:t>
            </w:r>
          </w:p>
        </w:tc>
      </w:tr>
      <w:tr w:rsidR="00571565" w:rsidTr="00571565">
        <w:tc>
          <w:tcPr>
            <w:tcW w:w="3391" w:type="dxa"/>
          </w:tcPr>
          <w:p w:rsidR="00571565" w:rsidRPr="00571565" w:rsidRDefault="00571565" w:rsidP="00571565">
            <w:pPr>
              <w:spacing w:line="276" w:lineRule="auto"/>
              <w:jc w:val="both"/>
              <w:rPr>
                <w:b/>
                <w:sz w:val="32"/>
                <w:szCs w:val="32"/>
              </w:rPr>
            </w:pPr>
            <w:r>
              <w:rPr>
                <w:b/>
                <w:sz w:val="32"/>
                <w:szCs w:val="32"/>
              </w:rPr>
              <w:t>District/Public Schools</w:t>
            </w:r>
          </w:p>
        </w:tc>
        <w:tc>
          <w:tcPr>
            <w:tcW w:w="3719" w:type="dxa"/>
          </w:tcPr>
          <w:p w:rsidR="00571565" w:rsidRPr="007C5668" w:rsidRDefault="007C5668" w:rsidP="00571565">
            <w:pPr>
              <w:spacing w:line="276" w:lineRule="auto"/>
              <w:jc w:val="center"/>
              <w:rPr>
                <w:sz w:val="28"/>
                <w:szCs w:val="28"/>
              </w:rPr>
            </w:pPr>
            <w:r>
              <w:rPr>
                <w:sz w:val="28"/>
                <w:szCs w:val="28"/>
              </w:rPr>
              <w:t xml:space="preserve">174 </w:t>
            </w:r>
            <w:r w:rsidR="00571565" w:rsidRPr="007C5668">
              <w:rPr>
                <w:sz w:val="28"/>
                <w:szCs w:val="28"/>
              </w:rPr>
              <w:t>[</w:t>
            </w:r>
            <w:r>
              <w:rPr>
                <w:sz w:val="28"/>
                <w:szCs w:val="28"/>
              </w:rPr>
              <w:t>81.7</w:t>
            </w:r>
            <w:r w:rsidR="00571565" w:rsidRPr="007C5668">
              <w:rPr>
                <w:sz w:val="28"/>
                <w:szCs w:val="28"/>
              </w:rPr>
              <w:t>] employed as teachers</w:t>
            </w:r>
          </w:p>
        </w:tc>
        <w:tc>
          <w:tcPr>
            <w:tcW w:w="3600" w:type="dxa"/>
          </w:tcPr>
          <w:p w:rsidR="00571565" w:rsidRPr="007C5668" w:rsidRDefault="007C5668" w:rsidP="00571565">
            <w:pPr>
              <w:spacing w:line="276" w:lineRule="auto"/>
              <w:jc w:val="center"/>
              <w:rPr>
                <w:sz w:val="28"/>
                <w:szCs w:val="28"/>
              </w:rPr>
            </w:pPr>
            <w:r>
              <w:rPr>
                <w:sz w:val="28"/>
                <w:szCs w:val="28"/>
              </w:rPr>
              <w:t>87.7%</w:t>
            </w:r>
          </w:p>
        </w:tc>
      </w:tr>
      <w:tr w:rsidR="007C5668" w:rsidTr="00571565">
        <w:tc>
          <w:tcPr>
            <w:tcW w:w="3391" w:type="dxa"/>
          </w:tcPr>
          <w:p w:rsidR="007C5668" w:rsidRPr="00571565" w:rsidRDefault="007C5668" w:rsidP="007C5668">
            <w:pPr>
              <w:spacing w:line="276" w:lineRule="auto"/>
              <w:jc w:val="both"/>
              <w:rPr>
                <w:b/>
                <w:sz w:val="32"/>
                <w:szCs w:val="32"/>
              </w:rPr>
            </w:pPr>
            <w:r>
              <w:rPr>
                <w:b/>
                <w:sz w:val="32"/>
                <w:szCs w:val="32"/>
              </w:rPr>
              <w:t>Charter Schools</w:t>
            </w:r>
          </w:p>
        </w:tc>
        <w:tc>
          <w:tcPr>
            <w:tcW w:w="3719" w:type="dxa"/>
          </w:tcPr>
          <w:p w:rsidR="007C5668" w:rsidRPr="007C5668" w:rsidRDefault="007C5668" w:rsidP="007C5668">
            <w:pPr>
              <w:spacing w:line="276" w:lineRule="auto"/>
              <w:jc w:val="center"/>
              <w:rPr>
                <w:sz w:val="28"/>
                <w:szCs w:val="28"/>
              </w:rPr>
            </w:pPr>
            <w:r>
              <w:rPr>
                <w:sz w:val="28"/>
                <w:szCs w:val="28"/>
              </w:rPr>
              <w:t xml:space="preserve">23 </w:t>
            </w:r>
            <w:r w:rsidRPr="007C5668">
              <w:rPr>
                <w:sz w:val="28"/>
                <w:szCs w:val="28"/>
              </w:rPr>
              <w:t>[</w:t>
            </w:r>
            <w:r>
              <w:rPr>
                <w:sz w:val="28"/>
                <w:szCs w:val="28"/>
              </w:rPr>
              <w:t>10.8</w:t>
            </w:r>
            <w:r w:rsidRPr="007C5668">
              <w:rPr>
                <w:sz w:val="28"/>
                <w:szCs w:val="28"/>
              </w:rPr>
              <w:t>] employed as teachers</w:t>
            </w:r>
          </w:p>
        </w:tc>
        <w:tc>
          <w:tcPr>
            <w:tcW w:w="3600" w:type="dxa"/>
          </w:tcPr>
          <w:p w:rsidR="007C5668" w:rsidRPr="007C5668" w:rsidRDefault="007C5668" w:rsidP="007C5668">
            <w:pPr>
              <w:spacing w:line="276" w:lineRule="auto"/>
              <w:jc w:val="center"/>
              <w:rPr>
                <w:sz w:val="28"/>
                <w:szCs w:val="28"/>
              </w:rPr>
            </w:pPr>
            <w:r>
              <w:rPr>
                <w:sz w:val="28"/>
                <w:szCs w:val="28"/>
              </w:rPr>
              <w:t>7</w:t>
            </w:r>
            <w:r w:rsidRPr="007C5668">
              <w:rPr>
                <w:sz w:val="28"/>
                <w:szCs w:val="28"/>
              </w:rPr>
              <w:t>%</w:t>
            </w:r>
          </w:p>
        </w:tc>
      </w:tr>
      <w:tr w:rsidR="00571565" w:rsidTr="00571565">
        <w:tc>
          <w:tcPr>
            <w:tcW w:w="3391" w:type="dxa"/>
          </w:tcPr>
          <w:p w:rsidR="00571565" w:rsidRPr="00571565" w:rsidRDefault="00571565" w:rsidP="00571565">
            <w:pPr>
              <w:spacing w:line="276" w:lineRule="auto"/>
              <w:jc w:val="both"/>
              <w:rPr>
                <w:b/>
                <w:sz w:val="32"/>
                <w:szCs w:val="32"/>
              </w:rPr>
            </w:pPr>
            <w:r>
              <w:rPr>
                <w:b/>
                <w:sz w:val="32"/>
                <w:szCs w:val="32"/>
              </w:rPr>
              <w:t>Vocational Schools</w:t>
            </w:r>
          </w:p>
        </w:tc>
        <w:tc>
          <w:tcPr>
            <w:tcW w:w="3719" w:type="dxa"/>
          </w:tcPr>
          <w:p w:rsidR="00571565" w:rsidRPr="007C5668" w:rsidRDefault="007C5668" w:rsidP="00571565">
            <w:pPr>
              <w:spacing w:line="276" w:lineRule="auto"/>
              <w:jc w:val="center"/>
              <w:rPr>
                <w:sz w:val="28"/>
                <w:szCs w:val="28"/>
              </w:rPr>
            </w:pPr>
            <w:r>
              <w:rPr>
                <w:sz w:val="28"/>
                <w:szCs w:val="28"/>
              </w:rPr>
              <w:t>6</w:t>
            </w:r>
            <w:r w:rsidR="00571565" w:rsidRPr="007C5668">
              <w:rPr>
                <w:sz w:val="28"/>
                <w:szCs w:val="28"/>
              </w:rPr>
              <w:t>[</w:t>
            </w:r>
            <w:r>
              <w:rPr>
                <w:sz w:val="28"/>
                <w:szCs w:val="28"/>
              </w:rPr>
              <w:t>2.8%</w:t>
            </w:r>
            <w:r w:rsidR="00571565" w:rsidRPr="007C5668">
              <w:rPr>
                <w:sz w:val="28"/>
                <w:szCs w:val="28"/>
              </w:rPr>
              <w:t>] employed as teachers</w:t>
            </w:r>
          </w:p>
        </w:tc>
        <w:tc>
          <w:tcPr>
            <w:tcW w:w="3600" w:type="dxa"/>
          </w:tcPr>
          <w:p w:rsidR="00571565" w:rsidRPr="007C5668" w:rsidRDefault="007C5668" w:rsidP="00571565">
            <w:pPr>
              <w:spacing w:line="276" w:lineRule="auto"/>
              <w:jc w:val="center"/>
              <w:rPr>
                <w:sz w:val="28"/>
                <w:szCs w:val="28"/>
              </w:rPr>
            </w:pPr>
            <w:r>
              <w:rPr>
                <w:sz w:val="28"/>
                <w:szCs w:val="28"/>
              </w:rPr>
              <w:t>3.3</w:t>
            </w:r>
            <w:r w:rsidR="00571565" w:rsidRPr="007C5668">
              <w:rPr>
                <w:sz w:val="28"/>
                <w:szCs w:val="28"/>
              </w:rPr>
              <w:t>%</w:t>
            </w:r>
          </w:p>
        </w:tc>
      </w:tr>
      <w:tr w:rsidR="007C5668" w:rsidTr="00571565">
        <w:tc>
          <w:tcPr>
            <w:tcW w:w="3391" w:type="dxa"/>
          </w:tcPr>
          <w:p w:rsidR="007C5668" w:rsidRDefault="007C5668" w:rsidP="00571565">
            <w:pPr>
              <w:spacing w:line="276" w:lineRule="auto"/>
              <w:jc w:val="both"/>
              <w:rPr>
                <w:b/>
                <w:sz w:val="32"/>
                <w:szCs w:val="32"/>
              </w:rPr>
            </w:pPr>
            <w:r>
              <w:rPr>
                <w:b/>
                <w:sz w:val="32"/>
                <w:szCs w:val="32"/>
              </w:rPr>
              <w:t>Other</w:t>
            </w:r>
          </w:p>
        </w:tc>
        <w:tc>
          <w:tcPr>
            <w:tcW w:w="3719" w:type="dxa"/>
          </w:tcPr>
          <w:p w:rsidR="007C5668" w:rsidRDefault="007C5668" w:rsidP="00571565">
            <w:pPr>
              <w:spacing w:line="276" w:lineRule="auto"/>
              <w:jc w:val="center"/>
              <w:rPr>
                <w:sz w:val="28"/>
                <w:szCs w:val="28"/>
              </w:rPr>
            </w:pPr>
            <w:r>
              <w:rPr>
                <w:sz w:val="28"/>
                <w:szCs w:val="28"/>
              </w:rPr>
              <w:t>10 [4.7] employed as teachers elsewhere</w:t>
            </w:r>
          </w:p>
        </w:tc>
        <w:tc>
          <w:tcPr>
            <w:tcW w:w="3600" w:type="dxa"/>
          </w:tcPr>
          <w:p w:rsidR="007C5668" w:rsidRDefault="007C5668" w:rsidP="00571565">
            <w:pPr>
              <w:spacing w:line="276" w:lineRule="auto"/>
              <w:jc w:val="center"/>
              <w:rPr>
                <w:sz w:val="28"/>
                <w:szCs w:val="28"/>
              </w:rPr>
            </w:pPr>
            <w:r>
              <w:rPr>
                <w:sz w:val="28"/>
                <w:szCs w:val="28"/>
              </w:rPr>
              <w:t>2%</w:t>
            </w:r>
          </w:p>
        </w:tc>
      </w:tr>
    </w:tbl>
    <w:p w:rsidR="00571565" w:rsidRPr="002937D2" w:rsidRDefault="00571565" w:rsidP="002937D2">
      <w:pPr>
        <w:spacing w:line="276" w:lineRule="auto"/>
        <w:rPr>
          <w:b/>
          <w:sz w:val="32"/>
          <w:szCs w:val="32"/>
          <w:u w:val="single"/>
        </w:rPr>
      </w:pPr>
    </w:p>
    <w:sectPr w:rsidR="00571565" w:rsidRPr="00293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D2"/>
    <w:rsid w:val="001F624E"/>
    <w:rsid w:val="002937D2"/>
    <w:rsid w:val="0039700A"/>
    <w:rsid w:val="00563746"/>
    <w:rsid w:val="00571565"/>
    <w:rsid w:val="00645D47"/>
    <w:rsid w:val="007C5668"/>
    <w:rsid w:val="00B060FF"/>
    <w:rsid w:val="00D65475"/>
    <w:rsid w:val="00DE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5129"/>
  <w15:chartTrackingRefBased/>
  <w15:docId w15:val="{F4BB4851-BAAF-4D23-AB0C-83666497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7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Awenowicz, Melissa Anne</dc:creator>
  <cp:keywords/>
  <dc:description/>
  <cp:lastModifiedBy>Awenowicz, Melissa Anne</cp:lastModifiedBy>
  <cp:revision>1</cp:revision>
  <dcterms:created xsi:type="dcterms:W3CDTF">2021-04-14T16:03:00Z</dcterms:created>
  <dcterms:modified xsi:type="dcterms:W3CDTF">2021-04-14T20:17:00Z</dcterms:modified>
</cp:coreProperties>
</file>